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286D" w:rsidRPr="001C286D" w:rsidRDefault="001C286D" w:rsidP="001C286D">
      <w:pPr>
        <w:rPr>
          <w:b/>
          <w:lang w:val="en-US"/>
        </w:rPr>
      </w:pPr>
      <w:r w:rsidRPr="001C286D">
        <w:rPr>
          <w:b/>
          <w:lang w:val="en-US"/>
        </w:rPr>
        <w:t>Supplementary material</w:t>
      </w:r>
      <w:r w:rsidR="005360A8">
        <w:rPr>
          <w:b/>
          <w:lang w:val="en-US"/>
        </w:rPr>
        <w:t>: methods and results</w:t>
      </w:r>
    </w:p>
    <w:p w:rsidR="001C286D" w:rsidRPr="001C286D" w:rsidRDefault="001C286D" w:rsidP="001C286D">
      <w:pPr>
        <w:rPr>
          <w:u w:val="single"/>
          <w:lang w:val="en-US"/>
        </w:rPr>
      </w:pPr>
      <w:r w:rsidRPr="001C286D">
        <w:rPr>
          <w:u w:val="single"/>
          <w:lang w:val="en-US"/>
        </w:rPr>
        <w:t>Criteria for the diagnosis of dementia in the population electronic Registry</w:t>
      </w:r>
    </w:p>
    <w:p w:rsidR="001C286D" w:rsidRPr="001C286D" w:rsidRDefault="001C286D" w:rsidP="001C286D">
      <w:pPr>
        <w:rPr>
          <w:lang w:val="en-US"/>
        </w:rPr>
      </w:pPr>
      <w:r w:rsidRPr="001C286D">
        <w:rPr>
          <w:lang w:val="en-US"/>
        </w:rPr>
        <w:t xml:space="preserve">The search for diagnoses was carried out following validated criteria with a positive predictive value of 95.1% and a negative value of 99.4%. The dementia codes included were in ICD9 (290xx; 2941x; 331xx) and ICD10 (F01.5x; F02.8x; F03.9x; G30.0x; G30.1x; G30.8x; G30.9x; G31.0x; G31.1x; G31.2x; G31.8x; G31.9x). The dementia codes with BPS used were searched in CIE9 (294.11, 290.11, 290.12, 290.13, 290.2x, 290.3, 290.41, 290.42, 290.43, 290.9) and CIE10 (F02.81, F03.90, </w:t>
      </w:r>
      <w:proofErr w:type="gramStart"/>
      <w:r w:rsidRPr="001C286D">
        <w:rPr>
          <w:lang w:val="en-US"/>
        </w:rPr>
        <w:t>F05 )</w:t>
      </w:r>
      <w:proofErr w:type="gramEnd"/>
      <w:r w:rsidRPr="001C286D">
        <w:rPr>
          <w:lang w:val="en-US"/>
        </w:rPr>
        <w:t xml:space="preserve">. ICD 10 was added to the searches because from 1 January 2016 it is the official ICD. The identification of dementia also included the prescription of specific drugs for Alzheimer's disease (ATC Group N06D) such as acetylcholinesterase inhibitors (donepezil, </w:t>
      </w:r>
      <w:proofErr w:type="spellStart"/>
      <w:r w:rsidRPr="001C286D">
        <w:rPr>
          <w:lang w:val="en-US"/>
        </w:rPr>
        <w:t>rivastigmine</w:t>
      </w:r>
      <w:proofErr w:type="spellEnd"/>
      <w:r w:rsidRPr="001C286D">
        <w:rPr>
          <w:lang w:val="en-US"/>
        </w:rPr>
        <w:t xml:space="preserve"> and </w:t>
      </w:r>
      <w:proofErr w:type="spellStart"/>
      <w:r w:rsidRPr="001C286D">
        <w:rPr>
          <w:lang w:val="en-US"/>
        </w:rPr>
        <w:t>galantamine</w:t>
      </w:r>
      <w:proofErr w:type="spellEnd"/>
      <w:r w:rsidRPr="001C286D">
        <w:rPr>
          <w:lang w:val="en-US"/>
        </w:rPr>
        <w:t xml:space="preserve">), </w:t>
      </w:r>
      <w:proofErr w:type="spellStart"/>
      <w:r w:rsidRPr="001C286D">
        <w:rPr>
          <w:lang w:val="en-US"/>
        </w:rPr>
        <w:t>memantine</w:t>
      </w:r>
      <w:proofErr w:type="spellEnd"/>
      <w:r w:rsidRPr="001C286D">
        <w:rPr>
          <w:lang w:val="en-US"/>
        </w:rPr>
        <w:t xml:space="preserve"> and </w:t>
      </w:r>
      <w:proofErr w:type="spellStart"/>
      <w:r w:rsidRPr="001C286D">
        <w:rPr>
          <w:lang w:val="en-US"/>
        </w:rPr>
        <w:t>rivastigmine</w:t>
      </w:r>
      <w:proofErr w:type="spellEnd"/>
      <w:r w:rsidRPr="001C286D">
        <w:rPr>
          <w:lang w:val="en-US"/>
        </w:rPr>
        <w:t>.</w:t>
      </w:r>
    </w:p>
    <w:p w:rsidR="001C286D" w:rsidRPr="001C286D" w:rsidRDefault="001C286D" w:rsidP="001C286D">
      <w:pPr>
        <w:rPr>
          <w:u w:val="single"/>
          <w:lang w:val="en-US"/>
        </w:rPr>
      </w:pPr>
      <w:r w:rsidRPr="001C286D">
        <w:rPr>
          <w:u w:val="single"/>
          <w:lang w:val="en-US"/>
        </w:rPr>
        <w:t>Data preprocessing</w:t>
      </w:r>
    </w:p>
    <w:p w:rsidR="001C286D" w:rsidRPr="001C286D" w:rsidRDefault="001C286D" w:rsidP="001C286D">
      <w:pPr>
        <w:jc w:val="both"/>
        <w:rPr>
          <w:lang w:val="en-US"/>
        </w:rPr>
      </w:pPr>
      <w:r w:rsidRPr="001C286D">
        <w:rPr>
          <w:lang w:val="en-US"/>
        </w:rPr>
        <w:t xml:space="preserve">The initial dataset contained 22945 data instances with 68 variables belonging to 4003 subjects, recorded as repeated-measures data. Each one of the data instances referred to a new prescription or change in a medication for a specific subject. Therefore, the dataset was preprocessed to transform it in such a way that it contained a single summarizing instance per subject. In order to achieve this goal, the summarizing variables shown in Table SM1 were derived from the initial variables per each subject, while some irrelevant features for the current study were rejected. </w:t>
      </w:r>
    </w:p>
    <w:p w:rsidR="001C286D" w:rsidRPr="001C286D" w:rsidRDefault="001C286D" w:rsidP="001C286D">
      <w:pPr>
        <w:rPr>
          <w:lang w:val="en-US"/>
        </w:rPr>
      </w:pPr>
      <w:r w:rsidRPr="001C286D">
        <w:rPr>
          <w:lang w:val="en-US"/>
        </w:rPr>
        <w:br w:type="page"/>
      </w:r>
    </w:p>
    <w:p w:rsidR="001C286D" w:rsidRPr="001C286D" w:rsidRDefault="00B079F9" w:rsidP="001C286D">
      <w:pPr>
        <w:jc w:val="both"/>
        <w:rPr>
          <w:lang w:val="en-US"/>
        </w:rPr>
      </w:pPr>
      <w:r>
        <w:rPr>
          <w:lang w:val="en-US"/>
        </w:rPr>
        <w:lastRenderedPageBreak/>
        <w:t>Table S</w:t>
      </w:r>
      <w:r w:rsidR="001C286D" w:rsidRPr="001C286D">
        <w:rPr>
          <w:lang w:val="en-US"/>
        </w:rPr>
        <w:t>1. Description of variables included in the dataset.</w:t>
      </w:r>
    </w:p>
    <w:tbl>
      <w:tblPr>
        <w:tblStyle w:val="GridTableLight"/>
        <w:tblW w:w="0" w:type="auto"/>
        <w:tblLook w:val="04A0" w:firstRow="1" w:lastRow="0" w:firstColumn="1" w:lastColumn="0" w:noHBand="0" w:noVBand="1"/>
      </w:tblPr>
      <w:tblGrid>
        <w:gridCol w:w="1500"/>
        <w:gridCol w:w="2152"/>
        <w:gridCol w:w="5068"/>
      </w:tblGrid>
      <w:tr w:rsidR="001C286D" w:rsidRPr="001C286D" w:rsidTr="00EA753B">
        <w:tc>
          <w:tcPr>
            <w:tcW w:w="3652" w:type="dxa"/>
            <w:gridSpan w:val="2"/>
          </w:tcPr>
          <w:p w:rsidR="001C286D" w:rsidRPr="001C286D" w:rsidRDefault="001C286D" w:rsidP="001C286D">
            <w:pPr>
              <w:rPr>
                <w:b/>
                <w:bCs/>
                <w:lang w:val="en-US"/>
              </w:rPr>
            </w:pPr>
            <w:r w:rsidRPr="001C286D">
              <w:rPr>
                <w:b/>
                <w:bCs/>
                <w:lang w:val="en-US"/>
              </w:rPr>
              <w:t>Group</w:t>
            </w:r>
          </w:p>
        </w:tc>
        <w:tc>
          <w:tcPr>
            <w:tcW w:w="5068" w:type="dxa"/>
          </w:tcPr>
          <w:p w:rsidR="001C286D" w:rsidRPr="001C286D" w:rsidRDefault="001C286D" w:rsidP="001C286D">
            <w:pPr>
              <w:rPr>
                <w:b/>
                <w:bCs/>
                <w:lang w:val="en-US"/>
              </w:rPr>
            </w:pPr>
            <w:r w:rsidRPr="001C286D">
              <w:rPr>
                <w:b/>
                <w:bCs/>
                <w:lang w:val="en-US"/>
              </w:rPr>
              <w:t>Variable</w:t>
            </w:r>
          </w:p>
        </w:tc>
      </w:tr>
      <w:tr w:rsidR="001C286D" w:rsidRPr="001C286D" w:rsidTr="00EA753B">
        <w:tc>
          <w:tcPr>
            <w:tcW w:w="3652" w:type="dxa"/>
            <w:gridSpan w:val="2"/>
          </w:tcPr>
          <w:p w:rsidR="001C286D" w:rsidRPr="001C286D" w:rsidRDefault="001C286D" w:rsidP="001C286D">
            <w:pPr>
              <w:rPr>
                <w:b/>
                <w:bCs/>
                <w:lang w:val="en-US"/>
              </w:rPr>
            </w:pPr>
            <w:r w:rsidRPr="001C286D">
              <w:rPr>
                <w:b/>
                <w:bCs/>
                <w:lang w:val="en-US"/>
              </w:rPr>
              <w:t>Response variable, BPS</w:t>
            </w:r>
          </w:p>
          <w:p w:rsidR="001C286D" w:rsidRPr="001C286D" w:rsidRDefault="001C286D" w:rsidP="001C286D">
            <w:pPr>
              <w:rPr>
                <w:i/>
                <w:iCs/>
                <w:lang w:val="en-US"/>
              </w:rPr>
            </w:pPr>
            <w:r w:rsidRPr="001C286D">
              <w:rPr>
                <w:i/>
                <w:iCs/>
                <w:lang w:val="en-US"/>
              </w:rPr>
              <w:t>Does the patient’s HER contain a record of symptoms sometime? (Yes/No)</w:t>
            </w:r>
          </w:p>
        </w:tc>
        <w:tc>
          <w:tcPr>
            <w:tcW w:w="5068" w:type="dxa"/>
          </w:tcPr>
          <w:p w:rsidR="001C286D" w:rsidRPr="001C286D" w:rsidRDefault="001C286D" w:rsidP="001C286D">
            <w:pPr>
              <w:rPr>
                <w:i/>
                <w:u w:val="single"/>
                <w:lang w:val="en-US"/>
              </w:rPr>
            </w:pPr>
            <w:r w:rsidRPr="001C286D">
              <w:rPr>
                <w:lang w:val="en-US"/>
              </w:rPr>
              <w:t>- Depressive-type BPS</w:t>
            </w:r>
          </w:p>
          <w:p w:rsidR="001C286D" w:rsidRPr="001C286D" w:rsidRDefault="001C286D" w:rsidP="001C286D">
            <w:pPr>
              <w:rPr>
                <w:lang w:val="en-US"/>
              </w:rPr>
            </w:pPr>
            <w:r w:rsidRPr="001C286D">
              <w:rPr>
                <w:lang w:val="en-US"/>
              </w:rPr>
              <w:t xml:space="preserve"> - Psychotic-type BPS</w:t>
            </w:r>
          </w:p>
        </w:tc>
      </w:tr>
      <w:tr w:rsidR="001C286D" w:rsidRPr="001C286D" w:rsidTr="00EA753B">
        <w:tc>
          <w:tcPr>
            <w:tcW w:w="3652" w:type="dxa"/>
            <w:gridSpan w:val="2"/>
          </w:tcPr>
          <w:p w:rsidR="001C286D" w:rsidRPr="001C286D" w:rsidRDefault="001C286D" w:rsidP="001C286D">
            <w:pPr>
              <w:rPr>
                <w:b/>
                <w:bCs/>
                <w:lang w:val="en-US"/>
              </w:rPr>
            </w:pPr>
            <w:r w:rsidRPr="001C286D">
              <w:rPr>
                <w:b/>
                <w:bCs/>
                <w:lang w:val="en-US"/>
              </w:rPr>
              <w:t>Basic information</w:t>
            </w:r>
          </w:p>
        </w:tc>
        <w:tc>
          <w:tcPr>
            <w:tcW w:w="5068" w:type="dxa"/>
          </w:tcPr>
          <w:p w:rsidR="001C286D" w:rsidRPr="001C286D" w:rsidRDefault="001C286D" w:rsidP="001C286D">
            <w:pPr>
              <w:rPr>
                <w:lang w:val="en-US"/>
              </w:rPr>
            </w:pPr>
            <w:r w:rsidRPr="001C286D">
              <w:rPr>
                <w:lang w:val="en-US"/>
              </w:rPr>
              <w:t>- Anonymized Patient ID</w:t>
            </w:r>
          </w:p>
          <w:p w:rsidR="001C286D" w:rsidRPr="001C286D" w:rsidRDefault="001C286D" w:rsidP="001C286D">
            <w:pPr>
              <w:rPr>
                <w:lang w:val="en-US"/>
              </w:rPr>
            </w:pPr>
            <w:r w:rsidRPr="001C286D">
              <w:rPr>
                <w:lang w:val="en-US"/>
              </w:rPr>
              <w:t>- Nursing home</w:t>
            </w:r>
          </w:p>
          <w:p w:rsidR="001C286D" w:rsidRPr="001C286D" w:rsidRDefault="001C286D" w:rsidP="001C286D">
            <w:pPr>
              <w:rPr>
                <w:lang w:val="en-US"/>
              </w:rPr>
            </w:pPr>
            <w:r w:rsidRPr="001C286D">
              <w:rPr>
                <w:lang w:val="en-US"/>
              </w:rPr>
              <w:t xml:space="preserve">- Age </w:t>
            </w:r>
          </w:p>
          <w:p w:rsidR="001C286D" w:rsidRPr="001C286D" w:rsidRDefault="001C286D" w:rsidP="001C286D">
            <w:pPr>
              <w:rPr>
                <w:lang w:val="en-US"/>
              </w:rPr>
            </w:pPr>
            <w:r w:rsidRPr="001C286D">
              <w:rPr>
                <w:lang w:val="en-US"/>
              </w:rPr>
              <w:t>- Gender</w:t>
            </w:r>
          </w:p>
        </w:tc>
      </w:tr>
      <w:tr w:rsidR="001C286D" w:rsidRPr="006553D9" w:rsidTr="00EA753B">
        <w:tc>
          <w:tcPr>
            <w:tcW w:w="1500" w:type="dxa"/>
            <w:vMerge w:val="restart"/>
          </w:tcPr>
          <w:p w:rsidR="001C286D" w:rsidRPr="001C286D" w:rsidRDefault="001C286D" w:rsidP="001C286D">
            <w:pPr>
              <w:rPr>
                <w:b/>
                <w:bCs/>
                <w:lang w:val="en-US"/>
              </w:rPr>
            </w:pPr>
            <w:r w:rsidRPr="001C286D">
              <w:rPr>
                <w:b/>
                <w:bCs/>
                <w:lang w:val="en-US"/>
              </w:rPr>
              <w:t>Medication</w:t>
            </w:r>
          </w:p>
        </w:tc>
        <w:tc>
          <w:tcPr>
            <w:tcW w:w="2152" w:type="dxa"/>
          </w:tcPr>
          <w:p w:rsidR="001C286D" w:rsidRPr="001C286D" w:rsidRDefault="001C286D" w:rsidP="001C286D">
            <w:pPr>
              <w:rPr>
                <w:b/>
                <w:bCs/>
                <w:lang w:val="en-US"/>
              </w:rPr>
            </w:pPr>
            <w:r w:rsidRPr="001C286D">
              <w:rPr>
                <w:b/>
                <w:bCs/>
                <w:lang w:val="en-US"/>
              </w:rPr>
              <w:t>Prescription history</w:t>
            </w:r>
          </w:p>
          <w:p w:rsidR="001C286D" w:rsidRPr="001C286D" w:rsidRDefault="001C286D" w:rsidP="001C286D">
            <w:pPr>
              <w:rPr>
                <w:lang w:val="en-US"/>
              </w:rPr>
            </w:pPr>
            <w:r w:rsidRPr="001C286D">
              <w:rPr>
                <w:i/>
                <w:iCs/>
                <w:lang w:val="en-US"/>
              </w:rPr>
              <w:t>Has the patient been taking any of the following medication sometime? (Yes/No)</w:t>
            </w:r>
          </w:p>
        </w:tc>
        <w:tc>
          <w:tcPr>
            <w:tcW w:w="5068" w:type="dxa"/>
          </w:tcPr>
          <w:p w:rsidR="001C286D" w:rsidRPr="001C286D" w:rsidRDefault="001C286D" w:rsidP="001C286D">
            <w:pPr>
              <w:rPr>
                <w:i/>
                <w:u w:val="single"/>
                <w:lang w:val="en-US"/>
              </w:rPr>
            </w:pPr>
            <w:r w:rsidRPr="001C286D">
              <w:rPr>
                <w:lang w:val="en-US"/>
              </w:rPr>
              <w:t xml:space="preserve">- Antidepressant treatment (any) </w:t>
            </w:r>
          </w:p>
          <w:p w:rsidR="001C286D" w:rsidRPr="001C286D" w:rsidRDefault="001C286D" w:rsidP="001C286D">
            <w:pPr>
              <w:rPr>
                <w:i/>
                <w:u w:val="single"/>
                <w:lang w:val="en-US"/>
              </w:rPr>
            </w:pPr>
            <w:r w:rsidRPr="001C286D">
              <w:rPr>
                <w:lang w:val="en-US"/>
              </w:rPr>
              <w:t>- Antipsychotic treatment (any)</w:t>
            </w:r>
          </w:p>
          <w:p w:rsidR="001C286D" w:rsidRPr="001C286D" w:rsidRDefault="001C286D" w:rsidP="001C28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lang w:val="en-US"/>
              </w:rPr>
            </w:pPr>
            <w:r w:rsidRPr="001C286D">
              <w:rPr>
                <w:lang w:val="en-US"/>
              </w:rPr>
              <w:t xml:space="preserve">- Specific medication (based on 31 ATCs: N05AA01, </w:t>
            </w:r>
          </w:p>
          <w:p w:rsidR="001C286D" w:rsidRPr="001C286D" w:rsidRDefault="001C286D" w:rsidP="001C28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lang w:val="en-US"/>
              </w:rPr>
            </w:pPr>
            <w:r w:rsidRPr="001C286D">
              <w:rPr>
                <w:lang w:val="en-US"/>
              </w:rPr>
              <w:t xml:space="preserve">N05AA02, N05AD01, N05AH02, N05AH03, N05AH04, N05AL01, N05AL03, N05AN01, N05AX08, N05AX12, </w:t>
            </w:r>
          </w:p>
          <w:p w:rsidR="001C286D" w:rsidRPr="001C286D" w:rsidRDefault="001C286D" w:rsidP="001C28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lang w:val="en-US"/>
              </w:rPr>
            </w:pPr>
            <w:r w:rsidRPr="001C286D">
              <w:rPr>
                <w:lang w:val="en-US"/>
              </w:rPr>
              <w:t xml:space="preserve">N05AX13, N06AA04, N06AA09, N06AA10, N06AA21, N06AB03, N06AB04, N06AB05, N06AB06, N06AB08, </w:t>
            </w:r>
          </w:p>
          <w:p w:rsidR="001C286D" w:rsidRPr="001C286D" w:rsidRDefault="001C286D" w:rsidP="001C28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lang w:val="en-US"/>
              </w:rPr>
            </w:pPr>
            <w:r w:rsidRPr="001C286D">
              <w:rPr>
                <w:lang w:val="en-US"/>
              </w:rPr>
              <w:t xml:space="preserve">N06AB10, N06AX03, N06AX05, N06AX11, N06AX12, </w:t>
            </w:r>
          </w:p>
          <w:p w:rsidR="001C286D" w:rsidRPr="001C286D" w:rsidRDefault="001C286D" w:rsidP="001C286D">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rPr>
                <w:lang w:val="en-US"/>
              </w:rPr>
            </w:pPr>
            <w:r w:rsidRPr="001C286D">
              <w:rPr>
                <w:lang w:val="en-US"/>
              </w:rPr>
              <w:t>N06AX16, N06AX21, N06AX22, N06AX23, N06AX26</w:t>
            </w:r>
            <w:r w:rsidRPr="001C286D">
              <w:rPr>
                <w:rFonts w:ascii="Courier New" w:eastAsia="Times New Roman" w:hAnsi="Courier New" w:cs="Courier New"/>
                <w:sz w:val="20"/>
                <w:szCs w:val="20"/>
                <w:lang w:val="en-US" w:eastAsia="es-ES"/>
              </w:rPr>
              <w:t>)</w:t>
            </w:r>
          </w:p>
        </w:tc>
      </w:tr>
      <w:tr w:rsidR="001C286D" w:rsidRPr="006553D9" w:rsidTr="00EA753B">
        <w:tc>
          <w:tcPr>
            <w:tcW w:w="1500" w:type="dxa"/>
            <w:vMerge/>
          </w:tcPr>
          <w:p w:rsidR="001C286D" w:rsidRPr="001C286D" w:rsidRDefault="001C286D" w:rsidP="001C286D">
            <w:pPr>
              <w:rPr>
                <w:lang w:val="en-US"/>
              </w:rPr>
            </w:pPr>
          </w:p>
        </w:tc>
        <w:tc>
          <w:tcPr>
            <w:tcW w:w="2152" w:type="dxa"/>
          </w:tcPr>
          <w:p w:rsidR="001C286D" w:rsidRPr="001C286D" w:rsidRDefault="001C286D" w:rsidP="001C286D">
            <w:pPr>
              <w:rPr>
                <w:b/>
                <w:bCs/>
                <w:lang w:val="en-US"/>
              </w:rPr>
            </w:pPr>
            <w:r w:rsidRPr="001C286D">
              <w:rPr>
                <w:b/>
                <w:bCs/>
                <w:lang w:val="en-US"/>
              </w:rPr>
              <w:t xml:space="preserve">Details in the medication prescription history </w:t>
            </w:r>
            <w:r w:rsidRPr="001C286D">
              <w:rPr>
                <w:i/>
                <w:iCs/>
                <w:lang w:val="en-US"/>
              </w:rPr>
              <w:t>How many prescriptions / changes of the following type are registered for this patient?</w:t>
            </w:r>
          </w:p>
        </w:tc>
        <w:tc>
          <w:tcPr>
            <w:tcW w:w="5068" w:type="dxa"/>
          </w:tcPr>
          <w:p w:rsidR="001C286D" w:rsidRPr="001C286D" w:rsidRDefault="001C286D" w:rsidP="001C286D">
            <w:pPr>
              <w:rPr>
                <w:lang w:val="en-US"/>
              </w:rPr>
            </w:pPr>
            <w:r w:rsidRPr="001C286D">
              <w:rPr>
                <w:lang w:val="en-US"/>
              </w:rPr>
              <w:t xml:space="preserve">- N. antidepressant treats.: Number of different antidepressant treatments </w:t>
            </w:r>
            <w:proofErr w:type="spellStart"/>
            <w:r w:rsidRPr="001C286D">
              <w:rPr>
                <w:lang w:val="en-US"/>
              </w:rPr>
              <w:t>prescripted</w:t>
            </w:r>
            <w:proofErr w:type="spellEnd"/>
          </w:p>
          <w:p w:rsidR="001C286D" w:rsidRPr="001C286D" w:rsidRDefault="001C286D" w:rsidP="001C286D">
            <w:pPr>
              <w:rPr>
                <w:lang w:val="en-US"/>
              </w:rPr>
            </w:pPr>
            <w:r w:rsidRPr="001C286D">
              <w:rPr>
                <w:lang w:val="en-US"/>
              </w:rPr>
              <w:t xml:space="preserve">- </w:t>
            </w:r>
            <w:proofErr w:type="spellStart"/>
            <w:r w:rsidRPr="001C286D">
              <w:rPr>
                <w:lang w:val="en-US"/>
              </w:rPr>
              <w:t>N.changes</w:t>
            </w:r>
            <w:proofErr w:type="spellEnd"/>
            <w:r w:rsidRPr="001C286D">
              <w:rPr>
                <w:lang w:val="en-US"/>
              </w:rPr>
              <w:t xml:space="preserve"> from </w:t>
            </w:r>
            <w:proofErr w:type="spellStart"/>
            <w:r w:rsidRPr="001C286D">
              <w:rPr>
                <w:lang w:val="en-US"/>
              </w:rPr>
              <w:t>antipsy</w:t>
            </w:r>
            <w:proofErr w:type="spellEnd"/>
            <w:r w:rsidRPr="001C286D">
              <w:rPr>
                <w:lang w:val="en-US"/>
              </w:rPr>
              <w:t xml:space="preserve">. to </w:t>
            </w:r>
            <w:proofErr w:type="spellStart"/>
            <w:r w:rsidRPr="001C286D">
              <w:rPr>
                <w:lang w:val="en-US"/>
              </w:rPr>
              <w:t>antidep</w:t>
            </w:r>
            <w:proofErr w:type="spellEnd"/>
            <w:r w:rsidRPr="001C286D">
              <w:rPr>
                <w:lang w:val="en-US"/>
              </w:rPr>
              <w:t xml:space="preserve">.: Number of times changes from an antipsychotic treatment to an antidepressant treatment </w:t>
            </w:r>
          </w:p>
          <w:p w:rsidR="001C286D" w:rsidRPr="001C286D" w:rsidRDefault="001C286D" w:rsidP="001C286D">
            <w:pPr>
              <w:rPr>
                <w:lang w:val="en-US"/>
              </w:rPr>
            </w:pPr>
            <w:r w:rsidRPr="001C286D">
              <w:rPr>
                <w:lang w:val="en-US"/>
              </w:rPr>
              <w:t xml:space="preserve">- N. antipsychotic treats.: Number of different antipsychotic treatments </w:t>
            </w:r>
            <w:proofErr w:type="spellStart"/>
            <w:r w:rsidRPr="001C286D">
              <w:rPr>
                <w:lang w:val="en-US"/>
              </w:rPr>
              <w:t>prescripted</w:t>
            </w:r>
            <w:proofErr w:type="spellEnd"/>
          </w:p>
          <w:p w:rsidR="001C286D" w:rsidRPr="001C286D" w:rsidRDefault="001C286D" w:rsidP="001C286D">
            <w:pPr>
              <w:rPr>
                <w:lang w:val="en-US"/>
              </w:rPr>
            </w:pPr>
            <w:r w:rsidRPr="001C286D">
              <w:rPr>
                <w:lang w:val="en-US"/>
              </w:rPr>
              <w:t xml:space="preserve">- </w:t>
            </w:r>
            <w:proofErr w:type="spellStart"/>
            <w:r w:rsidRPr="001C286D">
              <w:rPr>
                <w:lang w:val="en-US"/>
              </w:rPr>
              <w:t>N.changes</w:t>
            </w:r>
            <w:proofErr w:type="spellEnd"/>
            <w:r w:rsidRPr="001C286D">
              <w:rPr>
                <w:lang w:val="en-US"/>
              </w:rPr>
              <w:t xml:space="preserve"> from </w:t>
            </w:r>
            <w:proofErr w:type="spellStart"/>
            <w:r w:rsidRPr="001C286D">
              <w:rPr>
                <w:lang w:val="en-US"/>
              </w:rPr>
              <w:t>antidep</w:t>
            </w:r>
            <w:proofErr w:type="spellEnd"/>
            <w:r w:rsidRPr="001C286D">
              <w:rPr>
                <w:lang w:val="en-US"/>
              </w:rPr>
              <w:t xml:space="preserve">. to </w:t>
            </w:r>
            <w:proofErr w:type="spellStart"/>
            <w:r w:rsidRPr="001C286D">
              <w:rPr>
                <w:lang w:val="en-US"/>
              </w:rPr>
              <w:t>antipsy</w:t>
            </w:r>
            <w:proofErr w:type="spellEnd"/>
            <w:r w:rsidRPr="001C286D">
              <w:rPr>
                <w:lang w:val="en-US"/>
              </w:rPr>
              <w:t xml:space="preserve">.: Number of times changes from an antidepressant treatment to an antipsychotic treatment </w:t>
            </w:r>
          </w:p>
          <w:p w:rsidR="001C286D" w:rsidRPr="001C286D" w:rsidRDefault="001C286D" w:rsidP="001C286D">
            <w:pPr>
              <w:rPr>
                <w:lang w:val="en-US"/>
              </w:rPr>
            </w:pPr>
            <w:r w:rsidRPr="001C286D">
              <w:rPr>
                <w:lang w:val="en-US"/>
              </w:rPr>
              <w:t>- Sedation level: maximum sedative level prescribed, categorized as absent/ minimum/ moderate/ important</w:t>
            </w:r>
          </w:p>
          <w:p w:rsidR="001C286D" w:rsidRPr="001C286D" w:rsidRDefault="001C286D" w:rsidP="001C286D">
            <w:pPr>
              <w:rPr>
                <w:lang w:val="en-US"/>
              </w:rPr>
            </w:pPr>
          </w:p>
        </w:tc>
      </w:tr>
      <w:tr w:rsidR="001C286D" w:rsidRPr="006553D9" w:rsidTr="00EA753B">
        <w:tc>
          <w:tcPr>
            <w:tcW w:w="3652" w:type="dxa"/>
            <w:gridSpan w:val="2"/>
          </w:tcPr>
          <w:p w:rsidR="001C286D" w:rsidRPr="001C286D" w:rsidRDefault="001C286D" w:rsidP="001C286D">
            <w:pPr>
              <w:rPr>
                <w:b/>
                <w:bCs/>
                <w:lang w:val="en-US"/>
              </w:rPr>
            </w:pPr>
            <w:r w:rsidRPr="001C286D">
              <w:rPr>
                <w:b/>
                <w:bCs/>
                <w:lang w:val="en-US"/>
              </w:rPr>
              <w:t xml:space="preserve">Comorbidities </w:t>
            </w:r>
          </w:p>
          <w:p w:rsidR="001C286D" w:rsidRPr="001C286D" w:rsidRDefault="001C286D" w:rsidP="001C286D">
            <w:pPr>
              <w:rPr>
                <w:i/>
                <w:iCs/>
                <w:lang w:val="en-US"/>
              </w:rPr>
            </w:pPr>
            <w:r w:rsidRPr="001C286D">
              <w:rPr>
                <w:i/>
                <w:iCs/>
                <w:lang w:val="en-US"/>
              </w:rPr>
              <w:t>Has the patient been diagnosed by any of the following sometime? (Yes/No)</w:t>
            </w:r>
          </w:p>
        </w:tc>
        <w:tc>
          <w:tcPr>
            <w:tcW w:w="5068" w:type="dxa"/>
          </w:tcPr>
          <w:p w:rsidR="001C286D" w:rsidRPr="001C286D" w:rsidRDefault="001C286D" w:rsidP="001C286D">
            <w:pPr>
              <w:rPr>
                <w:lang w:val="en-US"/>
              </w:rPr>
            </w:pPr>
            <w:r w:rsidRPr="001C286D">
              <w:rPr>
                <w:lang w:val="en-US"/>
              </w:rPr>
              <w:t>- Diabetes mellitus</w:t>
            </w:r>
          </w:p>
          <w:p w:rsidR="001C286D" w:rsidRPr="001C286D" w:rsidRDefault="001C286D" w:rsidP="001C286D">
            <w:pPr>
              <w:rPr>
                <w:lang w:val="en-US"/>
              </w:rPr>
            </w:pPr>
            <w:r w:rsidRPr="001C286D">
              <w:rPr>
                <w:lang w:val="en-US"/>
              </w:rPr>
              <w:t>- Dyslipidemia</w:t>
            </w:r>
          </w:p>
          <w:p w:rsidR="001C286D" w:rsidRPr="001C286D" w:rsidRDefault="001C286D" w:rsidP="001C286D">
            <w:pPr>
              <w:rPr>
                <w:lang w:val="en-US"/>
              </w:rPr>
            </w:pPr>
            <w:r w:rsidRPr="001C286D">
              <w:rPr>
                <w:lang w:val="en-US"/>
              </w:rPr>
              <w:t>- Parkinson’s disease</w:t>
            </w:r>
          </w:p>
          <w:p w:rsidR="001C286D" w:rsidRPr="001C286D" w:rsidRDefault="001C286D" w:rsidP="001C286D">
            <w:pPr>
              <w:rPr>
                <w:lang w:val="en-US"/>
              </w:rPr>
            </w:pPr>
            <w:r w:rsidRPr="001C286D">
              <w:rPr>
                <w:lang w:val="en-US"/>
              </w:rPr>
              <w:t xml:space="preserve">- Hypertension </w:t>
            </w:r>
          </w:p>
          <w:p w:rsidR="001C286D" w:rsidRPr="001C286D" w:rsidRDefault="001C286D" w:rsidP="001C286D">
            <w:pPr>
              <w:rPr>
                <w:lang w:val="en-US"/>
              </w:rPr>
            </w:pPr>
            <w:r w:rsidRPr="001C286D">
              <w:rPr>
                <w:lang w:val="en-US"/>
              </w:rPr>
              <w:t>- Thyroid disease</w:t>
            </w:r>
          </w:p>
          <w:p w:rsidR="001C286D" w:rsidRPr="001C286D" w:rsidRDefault="001C286D" w:rsidP="001C286D">
            <w:pPr>
              <w:rPr>
                <w:lang w:val="en-US"/>
              </w:rPr>
            </w:pPr>
            <w:r w:rsidRPr="001C286D">
              <w:rPr>
                <w:lang w:val="en-US"/>
              </w:rPr>
              <w:t>- Stroke</w:t>
            </w:r>
          </w:p>
          <w:p w:rsidR="001C286D" w:rsidRPr="001C286D" w:rsidRDefault="001C286D" w:rsidP="001C286D">
            <w:pPr>
              <w:rPr>
                <w:lang w:val="en-US"/>
              </w:rPr>
            </w:pPr>
            <w:r w:rsidRPr="001C286D">
              <w:rPr>
                <w:lang w:val="en-US"/>
              </w:rPr>
              <w:t>- Cardiovascular disease</w:t>
            </w:r>
          </w:p>
          <w:p w:rsidR="001C286D" w:rsidRPr="001C286D" w:rsidRDefault="001C286D" w:rsidP="001C286D">
            <w:pPr>
              <w:keepNext/>
              <w:rPr>
                <w:lang w:val="en-US"/>
              </w:rPr>
            </w:pPr>
            <w:r w:rsidRPr="001C286D">
              <w:rPr>
                <w:lang w:val="en-US"/>
              </w:rPr>
              <w:t>- Traumatic brain injury</w:t>
            </w:r>
          </w:p>
        </w:tc>
      </w:tr>
    </w:tbl>
    <w:p w:rsidR="001C286D" w:rsidRPr="001C286D" w:rsidRDefault="001C286D" w:rsidP="001C286D">
      <w:pPr>
        <w:rPr>
          <w:lang w:val="en-US"/>
        </w:rPr>
      </w:pPr>
    </w:p>
    <w:p w:rsidR="001C286D" w:rsidRPr="001C286D" w:rsidRDefault="001C286D" w:rsidP="001C286D">
      <w:pPr>
        <w:rPr>
          <w:lang w:val="en-US"/>
        </w:rPr>
      </w:pPr>
      <w:r w:rsidRPr="001C286D">
        <w:rPr>
          <w:lang w:val="en-US"/>
        </w:rPr>
        <w:br w:type="page"/>
      </w:r>
    </w:p>
    <w:p w:rsidR="001C286D" w:rsidRPr="001C286D" w:rsidRDefault="00B079F9" w:rsidP="001C286D">
      <w:pPr>
        <w:rPr>
          <w:lang w:val="en-US"/>
        </w:rPr>
      </w:pPr>
      <w:r>
        <w:rPr>
          <w:lang w:val="en-US"/>
        </w:rPr>
        <w:lastRenderedPageBreak/>
        <w:t>Table S</w:t>
      </w:r>
      <w:r w:rsidR="001C286D" w:rsidRPr="001C286D">
        <w:rPr>
          <w:lang w:val="en-US"/>
        </w:rPr>
        <w:t>2. Sedative capacity of all the drugs included in the dataset.</w:t>
      </w:r>
    </w:p>
    <w:tbl>
      <w:tblPr>
        <w:tblW w:w="7528" w:type="dxa"/>
        <w:tblInd w:w="55" w:type="dxa"/>
        <w:tblLayout w:type="fixed"/>
        <w:tblCellMar>
          <w:left w:w="70" w:type="dxa"/>
          <w:right w:w="70" w:type="dxa"/>
        </w:tblCellMar>
        <w:tblLook w:val="04A0" w:firstRow="1" w:lastRow="0" w:firstColumn="1" w:lastColumn="0" w:noHBand="0" w:noVBand="1"/>
      </w:tblPr>
      <w:tblGrid>
        <w:gridCol w:w="582"/>
        <w:gridCol w:w="1625"/>
        <w:gridCol w:w="1626"/>
        <w:gridCol w:w="3695"/>
      </w:tblGrid>
      <w:tr w:rsidR="001C286D" w:rsidRPr="006553D9" w:rsidTr="00EA753B">
        <w:trPr>
          <w:trHeight w:val="870"/>
        </w:trPr>
        <w:tc>
          <w:tcPr>
            <w:tcW w:w="582" w:type="dxa"/>
            <w:tcBorders>
              <w:top w:val="nil"/>
              <w:left w:val="nil"/>
              <w:bottom w:val="nil"/>
              <w:right w:val="nil"/>
            </w:tcBorders>
            <w:shd w:val="clear" w:color="auto" w:fill="auto"/>
            <w:noWrap/>
            <w:vAlign w:val="center"/>
            <w:hideMark/>
          </w:tcPr>
          <w:p w:rsidR="001C286D" w:rsidRPr="001C286D" w:rsidRDefault="001C286D" w:rsidP="001C286D">
            <w:pPr>
              <w:spacing w:after="0" w:line="240" w:lineRule="auto"/>
              <w:rPr>
                <w:rFonts w:ascii="Arial" w:eastAsia="Times New Roman" w:hAnsi="Arial" w:cs="Arial"/>
                <w:color w:val="000000"/>
                <w:sz w:val="16"/>
                <w:szCs w:val="16"/>
                <w:lang w:val="en-US" w:eastAsia="es-ES"/>
              </w:rPr>
            </w:pPr>
          </w:p>
        </w:tc>
        <w:tc>
          <w:tcPr>
            <w:tcW w:w="1625" w:type="dxa"/>
            <w:tcBorders>
              <w:top w:val="single" w:sz="4" w:space="0" w:color="auto"/>
              <w:left w:val="single" w:sz="4" w:space="0" w:color="auto"/>
              <w:bottom w:val="single" w:sz="4" w:space="0" w:color="auto"/>
            </w:tcBorders>
            <w:shd w:val="clear" w:color="auto" w:fill="auto"/>
            <w:vAlign w:val="center"/>
            <w:hideMark/>
          </w:tcPr>
          <w:p w:rsidR="001C286D" w:rsidRPr="001C286D" w:rsidRDefault="001C286D" w:rsidP="001C286D">
            <w:pPr>
              <w:spacing w:after="0" w:line="240" w:lineRule="auto"/>
              <w:jc w:val="center"/>
              <w:rPr>
                <w:rFonts w:ascii="Tahoma" w:eastAsia="Times New Roman" w:hAnsi="Tahoma" w:cs="Tahoma"/>
                <w:b/>
                <w:bCs/>
                <w:sz w:val="16"/>
                <w:szCs w:val="16"/>
                <w:lang w:eastAsia="es-ES"/>
              </w:rPr>
            </w:pPr>
            <w:r w:rsidRPr="001C286D">
              <w:rPr>
                <w:rFonts w:ascii="Tahoma" w:eastAsia="Times New Roman" w:hAnsi="Tahoma" w:cs="Tahoma"/>
                <w:b/>
                <w:bCs/>
                <w:sz w:val="16"/>
                <w:szCs w:val="16"/>
                <w:lang w:eastAsia="es-ES"/>
              </w:rPr>
              <w:t>ATC</w:t>
            </w:r>
          </w:p>
        </w:tc>
        <w:tc>
          <w:tcPr>
            <w:tcW w:w="1626" w:type="dxa"/>
            <w:tcBorders>
              <w:top w:val="single" w:sz="4" w:space="0" w:color="auto"/>
              <w:bottom w:val="single" w:sz="4" w:space="0" w:color="auto"/>
            </w:tcBorders>
            <w:shd w:val="clear" w:color="auto" w:fill="auto"/>
            <w:vAlign w:val="center"/>
            <w:hideMark/>
          </w:tcPr>
          <w:p w:rsidR="001C286D" w:rsidRPr="001C286D" w:rsidRDefault="001C286D" w:rsidP="001C286D">
            <w:pPr>
              <w:spacing w:after="0" w:line="240" w:lineRule="auto"/>
              <w:jc w:val="center"/>
              <w:rPr>
                <w:rFonts w:ascii="Tahoma" w:eastAsia="Times New Roman" w:hAnsi="Tahoma" w:cs="Tahoma"/>
                <w:b/>
                <w:bCs/>
                <w:sz w:val="16"/>
                <w:szCs w:val="16"/>
                <w:lang w:eastAsia="es-ES"/>
              </w:rPr>
            </w:pPr>
            <w:proofErr w:type="spellStart"/>
            <w:r w:rsidRPr="001C286D">
              <w:rPr>
                <w:rFonts w:ascii="Tahoma" w:eastAsia="Times New Roman" w:hAnsi="Tahoma" w:cs="Tahoma"/>
                <w:b/>
                <w:bCs/>
                <w:sz w:val="16"/>
                <w:szCs w:val="16"/>
                <w:lang w:eastAsia="es-ES"/>
              </w:rPr>
              <w:t>Drug</w:t>
            </w:r>
            <w:proofErr w:type="spellEnd"/>
            <w:r w:rsidRPr="001C286D">
              <w:rPr>
                <w:rFonts w:ascii="Tahoma" w:eastAsia="Times New Roman" w:hAnsi="Tahoma" w:cs="Tahoma"/>
                <w:b/>
                <w:bCs/>
                <w:sz w:val="16"/>
                <w:szCs w:val="16"/>
                <w:lang w:eastAsia="es-ES"/>
              </w:rPr>
              <w:t xml:space="preserve"> </w:t>
            </w:r>
            <w:proofErr w:type="spellStart"/>
            <w:r w:rsidRPr="001C286D">
              <w:rPr>
                <w:rFonts w:ascii="Tahoma" w:eastAsia="Times New Roman" w:hAnsi="Tahoma" w:cs="Tahoma"/>
                <w:b/>
                <w:bCs/>
                <w:sz w:val="16"/>
                <w:szCs w:val="16"/>
                <w:lang w:eastAsia="es-ES"/>
              </w:rPr>
              <w:t>name</w:t>
            </w:r>
            <w:proofErr w:type="spellEnd"/>
          </w:p>
        </w:tc>
        <w:tc>
          <w:tcPr>
            <w:tcW w:w="3695" w:type="dxa"/>
            <w:tcBorders>
              <w:top w:val="single" w:sz="4" w:space="0" w:color="auto"/>
              <w:bottom w:val="single" w:sz="4" w:space="0" w:color="auto"/>
              <w:right w:val="single" w:sz="4" w:space="0" w:color="auto"/>
            </w:tcBorders>
            <w:shd w:val="clear" w:color="auto" w:fill="auto"/>
            <w:vAlign w:val="center"/>
            <w:hideMark/>
          </w:tcPr>
          <w:p w:rsidR="001C286D" w:rsidRPr="001C286D" w:rsidRDefault="001C286D" w:rsidP="001C286D">
            <w:pPr>
              <w:spacing w:after="0" w:line="240" w:lineRule="auto"/>
              <w:jc w:val="center"/>
              <w:rPr>
                <w:rFonts w:ascii="Tahoma" w:eastAsia="Times New Roman" w:hAnsi="Tahoma" w:cs="Tahoma"/>
                <w:b/>
                <w:bCs/>
                <w:sz w:val="16"/>
                <w:szCs w:val="16"/>
                <w:lang w:val="en-US" w:eastAsia="es-ES"/>
              </w:rPr>
            </w:pPr>
            <w:r w:rsidRPr="001C286D">
              <w:rPr>
                <w:rFonts w:ascii="Tahoma" w:eastAsia="Times New Roman" w:hAnsi="Tahoma" w:cs="Tahoma"/>
                <w:b/>
                <w:bCs/>
                <w:sz w:val="16"/>
                <w:szCs w:val="16"/>
                <w:lang w:val="en-US" w:eastAsia="es-ES"/>
              </w:rPr>
              <w:t>Sedative capacity (0:absent; 1:minimum; 2:mild; 3:moderate; 4:important)</w:t>
            </w:r>
          </w:p>
        </w:tc>
      </w:tr>
      <w:tr w:rsidR="001C286D" w:rsidRPr="001C286D" w:rsidTr="00EA753B">
        <w:trPr>
          <w:trHeight w:val="225"/>
        </w:trPr>
        <w:tc>
          <w:tcPr>
            <w:tcW w:w="582" w:type="dxa"/>
            <w:vMerge w:val="restart"/>
            <w:tcBorders>
              <w:top w:val="single" w:sz="8" w:space="0" w:color="auto"/>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val="en-US" w:eastAsia="es-ES"/>
              </w:rPr>
            </w:pPr>
            <w:r w:rsidRPr="001C286D">
              <w:rPr>
                <w:rFonts w:ascii="Arial" w:eastAsia="Times New Roman" w:hAnsi="Arial" w:cs="Arial"/>
                <w:b/>
                <w:bCs/>
                <w:color w:val="000000"/>
                <w:sz w:val="16"/>
                <w:szCs w:val="16"/>
                <w:lang w:val="en-US" w:eastAsia="es-ES"/>
              </w:rPr>
              <w:t> </w:t>
            </w:r>
          </w:p>
          <w:p w:rsidR="001C286D" w:rsidRPr="001C286D" w:rsidRDefault="001C286D" w:rsidP="001C286D">
            <w:pPr>
              <w:spacing w:after="0" w:line="240" w:lineRule="auto"/>
              <w:jc w:val="center"/>
              <w:rPr>
                <w:rFonts w:ascii="Arial" w:eastAsia="Times New Roman" w:hAnsi="Arial" w:cs="Arial"/>
                <w:b/>
                <w:bCs/>
                <w:color w:val="000000"/>
                <w:sz w:val="16"/>
                <w:szCs w:val="16"/>
                <w:lang w:eastAsia="es-ES"/>
              </w:rPr>
            </w:pPr>
            <w:proofErr w:type="spellStart"/>
            <w:r w:rsidRPr="001C286D">
              <w:rPr>
                <w:rFonts w:ascii="Arial" w:eastAsia="Times New Roman" w:hAnsi="Arial" w:cs="Arial"/>
                <w:b/>
                <w:bCs/>
                <w:color w:val="000000"/>
                <w:sz w:val="16"/>
                <w:szCs w:val="16"/>
                <w:lang w:eastAsia="es-ES"/>
              </w:rPr>
              <w:t>Antipsychotic</w:t>
            </w:r>
            <w:proofErr w:type="spellEnd"/>
            <w:r w:rsidRPr="001C286D">
              <w:rPr>
                <w:rFonts w:ascii="Arial" w:eastAsia="Times New Roman" w:hAnsi="Arial" w:cs="Arial"/>
                <w:b/>
                <w:bCs/>
                <w:color w:val="000000"/>
                <w:sz w:val="16"/>
                <w:szCs w:val="16"/>
                <w:lang w:eastAsia="es-ES"/>
              </w:rPr>
              <w:t xml:space="preserve"> </w:t>
            </w:r>
            <w:proofErr w:type="spellStart"/>
            <w:r w:rsidRPr="001C286D">
              <w:rPr>
                <w:rFonts w:ascii="Arial" w:eastAsia="Times New Roman" w:hAnsi="Arial" w:cs="Arial"/>
                <w:b/>
                <w:bCs/>
                <w:color w:val="000000"/>
                <w:sz w:val="16"/>
                <w:szCs w:val="16"/>
                <w:lang w:eastAsia="es-ES"/>
              </w:rPr>
              <w:t>drugs</w:t>
            </w:r>
            <w:proofErr w:type="spellEnd"/>
          </w:p>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top w:val="single" w:sz="4" w:space="0" w:color="auto"/>
              <w:left w:val="single" w:sz="4" w:space="0" w:color="auto"/>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N05AA01</w:t>
            </w:r>
          </w:p>
        </w:tc>
        <w:tc>
          <w:tcPr>
            <w:tcW w:w="1626" w:type="dxa"/>
            <w:tcBorders>
              <w:top w:val="single" w:sz="4" w:space="0" w:color="auto"/>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Chlorpromazine</w:t>
            </w:r>
            <w:proofErr w:type="spellEnd"/>
          </w:p>
        </w:tc>
        <w:tc>
          <w:tcPr>
            <w:tcW w:w="3695" w:type="dxa"/>
            <w:tcBorders>
              <w:top w:val="single" w:sz="4" w:space="0" w:color="auto"/>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3</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single" w:sz="4" w:space="0" w:color="auto"/>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N05AA02</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Levomepromazine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3</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single" w:sz="4" w:space="0" w:color="auto"/>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N05AD01</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Haloperidol</w:t>
            </w:r>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2</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single" w:sz="4" w:space="0" w:color="auto"/>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N05AH02</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Clozapine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4</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single" w:sz="4" w:space="0" w:color="auto"/>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N05AH03</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Olanzapine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3</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single" w:sz="4" w:space="0" w:color="auto"/>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N05AH04</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Quetiapine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3</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single" w:sz="4" w:space="0" w:color="auto"/>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N05AL01</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Sulpiride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1</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single" w:sz="4" w:space="0" w:color="auto"/>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N05AL03</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Tiapride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1</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single" w:sz="4" w:space="0" w:color="auto"/>
            </w:tcBorders>
            <w:shd w:val="clear" w:color="000000" w:fill="FFFFFF"/>
            <w:vAlign w:val="center"/>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N05AN01</w:t>
            </w:r>
          </w:p>
        </w:tc>
        <w:tc>
          <w:tcPr>
            <w:tcW w:w="1626" w:type="dxa"/>
            <w:shd w:val="clear" w:color="000000" w:fill="FFFFFF"/>
            <w:vAlign w:val="center"/>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Lithium</w:t>
            </w:r>
            <w:proofErr w:type="spellEnd"/>
          </w:p>
        </w:tc>
        <w:tc>
          <w:tcPr>
            <w:tcW w:w="3695" w:type="dxa"/>
            <w:tcBorders>
              <w:right w:val="single" w:sz="4" w:space="0" w:color="auto"/>
            </w:tcBorders>
            <w:shd w:val="clear" w:color="auto" w:fill="auto"/>
            <w:noWrap/>
            <w:vAlign w:val="center"/>
          </w:tcPr>
          <w:p w:rsidR="001C286D" w:rsidRPr="001C286D" w:rsidRDefault="001C286D" w:rsidP="001C286D">
            <w:pPr>
              <w:spacing w:after="0" w:line="240" w:lineRule="auto"/>
              <w:jc w:val="center"/>
              <w:rPr>
                <w:rFonts w:ascii="Arial" w:eastAsia="Times New Roman" w:hAnsi="Arial" w:cs="Arial"/>
                <w:sz w:val="16"/>
                <w:szCs w:val="16"/>
                <w:lang w:eastAsia="es-ES"/>
              </w:rPr>
            </w:pP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single" w:sz="4" w:space="0" w:color="auto"/>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N05AX08</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Risperidone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2</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single" w:sz="4" w:space="0" w:color="auto"/>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N05AX12</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Aripiprazole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1</w:t>
            </w:r>
          </w:p>
        </w:tc>
      </w:tr>
      <w:tr w:rsidR="001C286D" w:rsidRPr="001C286D" w:rsidTr="00EA753B">
        <w:trPr>
          <w:trHeight w:val="240"/>
        </w:trPr>
        <w:tc>
          <w:tcPr>
            <w:tcW w:w="582" w:type="dxa"/>
            <w:vMerge/>
            <w:tcBorders>
              <w:left w:val="single" w:sz="8" w:space="0" w:color="auto"/>
              <w:bottom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single" w:sz="4" w:space="0" w:color="auto"/>
              <w:bottom w:val="single" w:sz="4" w:space="0" w:color="auto"/>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N05AX13</w:t>
            </w:r>
          </w:p>
        </w:tc>
        <w:tc>
          <w:tcPr>
            <w:tcW w:w="1626" w:type="dxa"/>
            <w:tcBorders>
              <w:bottom w:val="single" w:sz="4" w:space="0" w:color="auto"/>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Paliperidone</w:t>
            </w:r>
            <w:proofErr w:type="spellEnd"/>
          </w:p>
        </w:tc>
        <w:tc>
          <w:tcPr>
            <w:tcW w:w="3695" w:type="dxa"/>
            <w:tcBorders>
              <w:bottom w:val="single" w:sz="4" w:space="0" w:color="auto"/>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2</w:t>
            </w:r>
          </w:p>
        </w:tc>
      </w:tr>
      <w:tr w:rsidR="001C286D" w:rsidRPr="001C286D" w:rsidTr="00EA753B">
        <w:trPr>
          <w:trHeight w:val="225"/>
        </w:trPr>
        <w:tc>
          <w:tcPr>
            <w:tcW w:w="582" w:type="dxa"/>
            <w:vMerge w:val="restart"/>
            <w:tcBorders>
              <w:top w:val="single" w:sz="8" w:space="0" w:color="auto"/>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jc w:val="center"/>
              <w:rPr>
                <w:rFonts w:ascii="Arial" w:eastAsia="Times New Roman" w:hAnsi="Arial" w:cs="Arial"/>
                <w:b/>
                <w:bCs/>
                <w:color w:val="000000"/>
                <w:sz w:val="16"/>
                <w:szCs w:val="16"/>
                <w:lang w:eastAsia="es-ES"/>
              </w:rPr>
            </w:pPr>
            <w:r w:rsidRPr="001C286D">
              <w:rPr>
                <w:rFonts w:ascii="Arial" w:eastAsia="Times New Roman" w:hAnsi="Arial" w:cs="Arial"/>
                <w:b/>
                <w:bCs/>
                <w:color w:val="000000"/>
                <w:sz w:val="16"/>
                <w:szCs w:val="16"/>
                <w:lang w:eastAsia="es-ES"/>
              </w:rPr>
              <w:t xml:space="preserve">Antidepressive </w:t>
            </w:r>
            <w:proofErr w:type="spellStart"/>
            <w:r w:rsidRPr="001C286D">
              <w:rPr>
                <w:rFonts w:ascii="Arial" w:eastAsia="Times New Roman" w:hAnsi="Arial" w:cs="Arial"/>
                <w:b/>
                <w:bCs/>
                <w:color w:val="000000"/>
                <w:sz w:val="16"/>
                <w:szCs w:val="16"/>
                <w:lang w:eastAsia="es-ES"/>
              </w:rPr>
              <w:t>drugs</w:t>
            </w:r>
            <w:proofErr w:type="spellEnd"/>
          </w:p>
        </w:tc>
        <w:tc>
          <w:tcPr>
            <w:tcW w:w="1625" w:type="dxa"/>
            <w:tcBorders>
              <w:top w:val="single" w:sz="4" w:space="0" w:color="auto"/>
              <w:left w:val="nil"/>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N06AA04</w:t>
            </w:r>
          </w:p>
        </w:tc>
        <w:tc>
          <w:tcPr>
            <w:tcW w:w="1626" w:type="dxa"/>
            <w:tcBorders>
              <w:top w:val="single" w:sz="4" w:space="0" w:color="auto"/>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Clomipramine</w:t>
            </w:r>
            <w:proofErr w:type="spellEnd"/>
          </w:p>
        </w:tc>
        <w:tc>
          <w:tcPr>
            <w:tcW w:w="3695" w:type="dxa"/>
            <w:tcBorders>
              <w:top w:val="single" w:sz="4" w:space="0" w:color="auto"/>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2</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nil"/>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N06AA09</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Amitriptyline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2</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nil"/>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N06AA10</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Nortriptyline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2</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nil"/>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N06AA21</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Maprotiline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2</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nil"/>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N06AB03</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Fluoxetine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0</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nil"/>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N06AB04</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Citalopram</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0</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nil"/>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N06AB05</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Paroxetine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0</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nil"/>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N06AB06</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Sertraline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0</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nil"/>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N06AB08</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Fluvoxamine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1</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nil"/>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N06AB10</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Escitalopram</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0</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nil"/>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N06AX03</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Mianserin</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2</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nil"/>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N06AX05</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Trazodone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2</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nil"/>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N06AX11</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Mirtazapine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2</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nil"/>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N06AX12</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Bupropion</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0</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nil"/>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N06AX16</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Venlafaxine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0</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nil"/>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N06AX21</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Duloxetine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0</w:t>
            </w: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nil"/>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N06AX22</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Agomelatine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p>
        </w:tc>
      </w:tr>
      <w:tr w:rsidR="001C286D" w:rsidRPr="001C286D" w:rsidTr="00EA753B">
        <w:trPr>
          <w:trHeight w:val="225"/>
        </w:trPr>
        <w:tc>
          <w:tcPr>
            <w:tcW w:w="582" w:type="dxa"/>
            <w:vMerge/>
            <w:tcBorders>
              <w:left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nil"/>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N06AX23</w:t>
            </w:r>
          </w:p>
        </w:tc>
        <w:tc>
          <w:tcPr>
            <w:tcW w:w="1626" w:type="dxa"/>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Desvenlafaxine</w:t>
            </w:r>
            <w:proofErr w:type="spellEnd"/>
          </w:p>
        </w:tc>
        <w:tc>
          <w:tcPr>
            <w:tcW w:w="3695" w:type="dxa"/>
            <w:tcBorders>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0</w:t>
            </w:r>
          </w:p>
        </w:tc>
      </w:tr>
      <w:tr w:rsidR="001C286D" w:rsidRPr="001C286D" w:rsidTr="00EA753B">
        <w:trPr>
          <w:trHeight w:val="240"/>
        </w:trPr>
        <w:tc>
          <w:tcPr>
            <w:tcW w:w="582" w:type="dxa"/>
            <w:vMerge/>
            <w:tcBorders>
              <w:left w:val="single" w:sz="8" w:space="0" w:color="auto"/>
              <w:bottom w:val="single" w:sz="8" w:space="0" w:color="auto"/>
              <w:right w:val="single" w:sz="4" w:space="0" w:color="auto"/>
            </w:tcBorders>
            <w:shd w:val="clear" w:color="auto" w:fill="auto"/>
            <w:noWrap/>
            <w:textDirection w:val="btLr"/>
            <w:vAlign w:val="center"/>
            <w:hideMark/>
          </w:tcPr>
          <w:p w:rsidR="001C286D" w:rsidRPr="001C286D" w:rsidRDefault="001C286D" w:rsidP="001C286D">
            <w:pPr>
              <w:spacing w:after="0" w:line="240" w:lineRule="auto"/>
              <w:rPr>
                <w:rFonts w:ascii="Arial" w:eastAsia="Times New Roman" w:hAnsi="Arial" w:cs="Arial"/>
                <w:b/>
                <w:bCs/>
                <w:color w:val="000000"/>
                <w:sz w:val="16"/>
                <w:szCs w:val="16"/>
                <w:lang w:eastAsia="es-ES"/>
              </w:rPr>
            </w:pPr>
          </w:p>
        </w:tc>
        <w:tc>
          <w:tcPr>
            <w:tcW w:w="1625" w:type="dxa"/>
            <w:tcBorders>
              <w:left w:val="nil"/>
              <w:bottom w:val="single" w:sz="4" w:space="0" w:color="auto"/>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r w:rsidRPr="001C286D">
              <w:rPr>
                <w:rFonts w:ascii="Tahoma" w:eastAsia="Times New Roman" w:hAnsi="Tahoma" w:cs="Tahoma"/>
                <w:sz w:val="16"/>
                <w:szCs w:val="16"/>
                <w:lang w:eastAsia="es-ES"/>
              </w:rPr>
              <w:t>N06AX26</w:t>
            </w:r>
          </w:p>
        </w:tc>
        <w:tc>
          <w:tcPr>
            <w:tcW w:w="1626" w:type="dxa"/>
            <w:tcBorders>
              <w:bottom w:val="single" w:sz="4" w:space="0" w:color="auto"/>
            </w:tcBorders>
            <w:shd w:val="clear" w:color="000000" w:fill="FFFFFF"/>
            <w:vAlign w:val="center"/>
            <w:hideMark/>
          </w:tcPr>
          <w:p w:rsidR="001C286D" w:rsidRPr="001C286D" w:rsidRDefault="001C286D" w:rsidP="001C286D">
            <w:pPr>
              <w:spacing w:after="0" w:line="240" w:lineRule="auto"/>
              <w:jc w:val="center"/>
              <w:rPr>
                <w:rFonts w:ascii="Tahoma" w:eastAsia="Times New Roman" w:hAnsi="Tahoma" w:cs="Tahoma"/>
                <w:sz w:val="16"/>
                <w:szCs w:val="16"/>
                <w:lang w:eastAsia="es-ES"/>
              </w:rPr>
            </w:pPr>
            <w:proofErr w:type="spellStart"/>
            <w:r w:rsidRPr="001C286D">
              <w:rPr>
                <w:rFonts w:ascii="Tahoma" w:eastAsia="Times New Roman" w:hAnsi="Tahoma" w:cs="Tahoma"/>
                <w:sz w:val="16"/>
                <w:szCs w:val="16"/>
                <w:lang w:eastAsia="es-ES"/>
              </w:rPr>
              <w:t>Vortioxetine</w:t>
            </w:r>
            <w:proofErr w:type="spellEnd"/>
          </w:p>
        </w:tc>
        <w:tc>
          <w:tcPr>
            <w:tcW w:w="3695" w:type="dxa"/>
            <w:tcBorders>
              <w:bottom w:val="single" w:sz="4" w:space="0" w:color="auto"/>
              <w:right w:val="single" w:sz="4" w:space="0" w:color="auto"/>
            </w:tcBorders>
            <w:shd w:val="clear" w:color="auto" w:fill="auto"/>
            <w:noWrap/>
            <w:vAlign w:val="center"/>
            <w:hideMark/>
          </w:tcPr>
          <w:p w:rsidR="001C286D" w:rsidRPr="001C286D" w:rsidRDefault="001C286D" w:rsidP="001C286D">
            <w:pPr>
              <w:spacing w:after="0" w:line="240" w:lineRule="auto"/>
              <w:jc w:val="center"/>
              <w:rPr>
                <w:rFonts w:ascii="Arial" w:eastAsia="Times New Roman" w:hAnsi="Arial" w:cs="Arial"/>
                <w:sz w:val="16"/>
                <w:szCs w:val="16"/>
                <w:lang w:eastAsia="es-ES"/>
              </w:rPr>
            </w:pPr>
            <w:r w:rsidRPr="001C286D">
              <w:rPr>
                <w:rFonts w:ascii="Arial" w:eastAsia="Times New Roman" w:hAnsi="Arial" w:cs="Arial"/>
                <w:sz w:val="16"/>
                <w:szCs w:val="16"/>
                <w:lang w:eastAsia="es-ES"/>
              </w:rPr>
              <w:t>0</w:t>
            </w:r>
          </w:p>
        </w:tc>
      </w:tr>
    </w:tbl>
    <w:p w:rsidR="001C286D" w:rsidRPr="001C286D" w:rsidRDefault="001C286D" w:rsidP="001C286D">
      <w:pPr>
        <w:rPr>
          <w:lang w:val="en-US"/>
        </w:rPr>
      </w:pPr>
    </w:p>
    <w:p w:rsidR="00EA753B" w:rsidRDefault="00EA753B">
      <w:pPr>
        <w:rPr>
          <w:lang w:val="en-US"/>
        </w:rPr>
      </w:pPr>
      <w:r>
        <w:rPr>
          <w:lang w:val="en-US"/>
        </w:rPr>
        <w:br w:type="page"/>
      </w:r>
    </w:p>
    <w:p w:rsidR="00EA753B" w:rsidRPr="00EA753B" w:rsidRDefault="00EA753B" w:rsidP="00EA753B">
      <w:pPr>
        <w:rPr>
          <w:lang w:val="en-US"/>
        </w:rPr>
      </w:pPr>
      <w:r w:rsidRPr="00EA753B">
        <w:rPr>
          <w:lang w:val="en-US"/>
        </w:rPr>
        <w:lastRenderedPageBreak/>
        <w:t>Machine learning</w:t>
      </w:r>
    </w:p>
    <w:p w:rsidR="00EA753B" w:rsidRPr="00EA753B" w:rsidRDefault="00EA753B" w:rsidP="00EA753B">
      <w:pPr>
        <w:rPr>
          <w:lang w:val="en-US"/>
        </w:rPr>
      </w:pPr>
      <w:r w:rsidRPr="00EA753B">
        <w:rPr>
          <w:lang w:val="en-US"/>
        </w:rPr>
        <w:t>The sample (N) was randomly divided into a training set (N</w:t>
      </w:r>
      <w:r w:rsidRPr="00EA753B">
        <w:rPr>
          <w:vertAlign w:val="subscript"/>
          <w:lang w:val="en-US"/>
        </w:rPr>
        <w:t>1</w:t>
      </w:r>
      <w:r w:rsidRPr="00EA753B">
        <w:rPr>
          <w:lang w:val="en-US"/>
        </w:rPr>
        <w:t xml:space="preserve"> = 0.75 * N) and a validation set (N</w:t>
      </w:r>
      <w:r w:rsidRPr="00EA753B">
        <w:rPr>
          <w:vertAlign w:val="subscript"/>
          <w:lang w:val="en-US"/>
        </w:rPr>
        <w:t>2</w:t>
      </w:r>
      <w:r w:rsidRPr="00EA753B">
        <w:rPr>
          <w:lang w:val="en-US"/>
        </w:rPr>
        <w:t xml:space="preserve"> = 0.25 * N).  It was checked that patient characteristics did not differ between training and validation sets (Table SM4). The ML approach was applied to build predictive models. After assessing various  ML algorithms, the random forest was selected for the current study </w:t>
      </w:r>
      <w:r w:rsidRPr="00EA753B">
        <w:rPr>
          <w:lang w:val="en-US"/>
        </w:rPr>
        <w:fldChar w:fldCharType="begin"/>
      </w:r>
      <w:r w:rsidRPr="00EA753B">
        <w:rPr>
          <w:lang w:val="en-US"/>
        </w:rPr>
        <w:instrText xml:space="preserve"> ADDIN ZOTERO_ITEM CSL_CITATION {"citationID":"OAJUqBvn","properties":{"formattedCitation":"[20]","plainCitation":"[20]","noteIndex":0},"citationItems":[{"id":1131,"uris":["http://zotero.org/users/4834886/items/TBQ27GLP"],"uri":["http://zotero.org/users/4834886/items/TBQ27GLP"],"itemData":{"id":1131,"type":"article-journal","abstract":"Broadly speaking, supervised machine learning is the computational task of learning correlations between variables in annotated data (the training set), and using this information to create a predictive model capable of inferring annotations for new data, whose annotations are not known. Ageing is a complex process that affects nearly all animal species. This process can be studied at several levels of abstraction, in different organisms and with different objectives in mind. Not surprisingly, the diversity of the supervised machine learning algorithms applied to answer biological questions reflects the complexities of the underlying ageing processes being studied. Many works using supervised machine learning to study the ageing process have been recently published, so it is timely to review these works, to discuss their main findings and weaknesses. In summary, the main findings of the reviewed papers are: the link between specific types of DNA repair and ageing; ageing-related proteins tend to be highly connected and seem to play a central role in molecular pathways; ageing/longevity is linked with autophagy and apoptosis, nutrient receptor genes, and copper and iron ion transport. Additionally, several biomarkers of ageing were found by machine learning. Despite some interesting machine learning results, we also identified a weakness of current works on this topic: only one of the reviewed papers has corroborated the computational results of machine learning algorithms through wet-lab experiments. In conclusion, supervised machine learning has contributed to advance our knowledge and has provided novel insights on ageing, yet future work should have a greater emphasis in validating the predictions.","container-title":"Biogerontology","DOI":"10.1007/s10522-017-9683-y","ISSN":"1573-6768","issue":"2","journalAbbreviation":"Biogerontology","language":"eng","note":"PMID: 28265788\nPMCID: PMC5350215","page":"171-188","source":"PubMed","title":"A review of supervised machine learning applied to ageing research","volume":"18","author":[{"family":"Fabris","given":"Fabio"},{"family":"Magalhães","given":"João Pedro","dropping-particle":"de"},{"family":"Freitas","given":"Alex A."}],"issued":{"date-parts":[["2017"]]}}}],"schema":"https://github.com/citation-style-language/schema/raw/master/csl-citation.json"} </w:instrText>
      </w:r>
      <w:r w:rsidRPr="00EA753B">
        <w:rPr>
          <w:lang w:val="en-US"/>
        </w:rPr>
        <w:fldChar w:fldCharType="separate"/>
      </w:r>
      <w:r w:rsidRPr="00EA753B">
        <w:rPr>
          <w:lang w:val="en-US"/>
        </w:rPr>
        <w:t>[20]</w:t>
      </w:r>
      <w:r w:rsidRPr="00EA753B">
        <w:rPr>
          <w:lang w:val="en-US"/>
        </w:rPr>
        <w:fldChar w:fldCharType="end"/>
      </w:r>
      <w:r w:rsidRPr="00EA753B">
        <w:rPr>
          <w:lang w:val="en-US"/>
        </w:rPr>
        <w:t xml:space="preserve">. The random forest algorithm </w:t>
      </w:r>
      <w:r w:rsidRPr="00EA753B">
        <w:rPr>
          <w:lang w:val="en-US"/>
        </w:rPr>
        <w:fldChar w:fldCharType="begin"/>
      </w:r>
      <w:r w:rsidRPr="00EA753B">
        <w:rPr>
          <w:lang w:val="en-US"/>
        </w:rPr>
        <w:instrText xml:space="preserve"> ADDIN ZOTERO_ITEM CSL_CITATION {"citationID":"Db8tEC6a","properties":{"formattedCitation":"[21]","plainCitation":"[21]","noteIndex":0},"citationItems":[{"id":1178,"uris":["http://zotero.org/users/4834886/items/V24AGVLB"],"uri":["http://zotero.org/users/4834886/items/V24AGVLB"],"itemData":{"id":1178,"type":"article-journal","container-title":"Machine learning","issue":"1","page":"5–32","source":"Google Scholar","title":"Random forests","volume":"45","author":[{"family":"Breiman","given":"Leo"}],"issued":{"date-parts":[["2001"]]}}}],"schema":"https://github.com/citation-style-language/schema/raw/master/csl-citation.json"} </w:instrText>
      </w:r>
      <w:r w:rsidRPr="00EA753B">
        <w:rPr>
          <w:lang w:val="en-US"/>
        </w:rPr>
        <w:fldChar w:fldCharType="separate"/>
      </w:r>
      <w:r w:rsidRPr="00EA753B">
        <w:rPr>
          <w:lang w:val="en-US"/>
        </w:rPr>
        <w:t>[21]</w:t>
      </w:r>
      <w:r w:rsidRPr="00EA753B">
        <w:rPr>
          <w:lang w:val="en-US"/>
        </w:rPr>
        <w:fldChar w:fldCharType="end"/>
      </w:r>
      <w:r w:rsidRPr="00EA753B">
        <w:rPr>
          <w:lang w:val="en-US"/>
        </w:rPr>
        <w:t xml:space="preserve"> is a stochastic ensemble method that uses bagging, a combination of bootstrapping and aggregation of weak learners, more specifically, decision trees, seeking to detect patterns in data and use these to predict outcomes, in our case, NPS </w:t>
      </w:r>
      <w:r w:rsidRPr="00EA753B">
        <w:rPr>
          <w:lang w:val="en-US"/>
        </w:rPr>
        <w:fldChar w:fldCharType="begin"/>
      </w:r>
      <w:r w:rsidRPr="00EA753B">
        <w:rPr>
          <w:lang w:val="en-US"/>
        </w:rPr>
        <w:instrText xml:space="preserve"> ADDIN ZOTERO_ITEM CSL_CITATION {"citationID":"KHXAwQIO","properties":{"formattedCitation":"[19]","plainCitation":"[19]","noteIndex":0},"citationItems":[{"id":1134,"uris":["http://zotero.org/users/4834886/items/AM5DFXQF"],"uri":["http://zotero.org/users/4834886/items/AM5DFXQF"],"itemData":{"id":1134,"type":"article-journal","abstract":"BACKGROUND: Machine learning is increasingly used to predict healthcare outcomes, including cost, utilization, and quality.\nOBJECTIVE: We provide a high-level overview of machine learning for healthcare outcomes researchers and decision makers.\nMETHODS: We introduce key concepts for understanding the application of machine learning methods to healthcare outcomes research. We first describe current standards to rigorously learn an estimator, which is an algorithm developed through machine learning to predict a particular outcome. We include steps for data preparation, estimator family selection, parameter learning, regularization, and evaluation. We then compare 3 of the most common machine learning methods: (1) decision tree methods that can be useful for identifying how different subpopulations experience different risks for an outcome; (2) deep learning methods that can identify complex nonlinear patterns or interactions between variables predictive of an outcome; and (3) ensemble methods that can improve predictive performance by combining multiple machine learning methods.\nRESULTS: We demonstrate the application of common machine methods to a simulated insurance claims dataset. We specifically include statistical code in R and Python for the development and evaluation of estimators for predicting which patients are at heightened risk for hospitalization from ambulatory care-sensitive conditions.\nCONCLUSIONS: Outcomes researchers should be aware of key standards for rigorously evaluating an estimator developed through machine learning approaches. Although multiple methods use machine learning concepts, different approaches are best suited for different research problems.","container-title":"Value in Health: The Journal of the International Society for Pharmacoeconomics and Outcomes Research","DOI":"10.1016/j.jval.2019.02.012","ISSN":"1524-4733","issue":"7","journalAbbreviation":"Value Health","language":"eng","note":"PMID: 31277828","page":"808-815","source":"PubMed","title":"Machine Learning for Health Services Researchers","volume":"22","author":[{"family":"Doupe","given":"Patrick"},{"family":"Faghmous","given":"James"},{"family":"Basu","given":"Sanjay"}],"issued":{"date-parts":[["2019",7]]}}}],"schema":"https://github.com/citation-style-language/schema/raw/master/csl-citation.json"} </w:instrText>
      </w:r>
      <w:r w:rsidRPr="00EA753B">
        <w:rPr>
          <w:lang w:val="en-US"/>
        </w:rPr>
        <w:fldChar w:fldCharType="separate"/>
      </w:r>
      <w:r w:rsidRPr="00EA753B">
        <w:rPr>
          <w:lang w:val="en-US"/>
        </w:rPr>
        <w:t>[19]</w:t>
      </w:r>
      <w:r w:rsidRPr="00EA753B">
        <w:rPr>
          <w:lang w:val="en-US"/>
        </w:rPr>
        <w:fldChar w:fldCharType="end"/>
      </w:r>
      <w:r w:rsidRPr="00EA753B">
        <w:rPr>
          <w:lang w:val="en-US"/>
        </w:rPr>
        <w:t xml:space="preserve">. The procedure relies on training a preset number of trees (500 by default). Then, only a subpopulation of the samples available, chosen by bootstrapping, is employed for training. By default, the size of the subpopulations is the same as that of the original population, and hence, the expectation is that 67% of the samples will be included in each subpopulation, the rest being simply replicates. At each node of each tree, only a subset of the original features is randomly selected for deciding how to split into two branches. By default, √M are used, where M is the number of features. When the model is applied to a new sample for validation, the decision is obtained by combining all individual tree decisions by aggregation (majority voting in classification problems and averaging in regression problems). The rationale behind random forest is that the bias of the full ensemble of trees is equivalent to the bias of each single tree, whereas the variance is much smaller </w:t>
      </w:r>
      <w:r w:rsidRPr="00EA753B">
        <w:rPr>
          <w:lang w:val="en-US"/>
        </w:rPr>
        <w:fldChar w:fldCharType="begin"/>
      </w:r>
      <w:r w:rsidRPr="00EA753B">
        <w:rPr>
          <w:lang w:val="en-US"/>
        </w:rPr>
        <w:instrText xml:space="preserve"> ADDIN ZOTERO_ITEM CSL_CITATION {"citationID":"C7h4UpJY","properties":{"formattedCitation":"[21]","plainCitation":"[21]","noteIndex":0},"citationItems":[{"id":1178,"uris":["http://zotero.org/users/4834886/items/V24AGVLB"],"uri":["http://zotero.org/users/4834886/items/V24AGVLB"],"itemData":{"id":1178,"type":"article-journal","container-title":"Machine learning","issue":"1","page":"5–32","source":"Google Scholar","title":"Random forests","volume":"45","author":[{"family":"Breiman","given":"Leo"}],"issued":{"date-parts":[["2001"]]}}}],"schema":"https://github.com/citation-style-language/schema/raw/master/csl-citation.json"} </w:instrText>
      </w:r>
      <w:r w:rsidRPr="00EA753B">
        <w:rPr>
          <w:lang w:val="en-US"/>
        </w:rPr>
        <w:fldChar w:fldCharType="separate"/>
      </w:r>
      <w:r w:rsidRPr="00EA753B">
        <w:rPr>
          <w:lang w:val="en-US"/>
        </w:rPr>
        <w:t>[21]</w:t>
      </w:r>
      <w:r w:rsidRPr="00EA753B">
        <w:rPr>
          <w:lang w:val="en-US"/>
        </w:rPr>
        <w:fldChar w:fldCharType="end"/>
      </w:r>
      <w:r w:rsidRPr="00EA753B">
        <w:rPr>
          <w:lang w:val="en-US"/>
        </w:rPr>
        <w:t xml:space="preserve">. </w:t>
      </w:r>
    </w:p>
    <w:p w:rsidR="00EA753B" w:rsidRPr="00EA753B" w:rsidRDefault="00EA753B" w:rsidP="00EA753B">
      <w:pPr>
        <w:rPr>
          <w:lang w:val="en-US"/>
        </w:rPr>
      </w:pPr>
      <w:r w:rsidRPr="00EA753B">
        <w:rPr>
          <w:lang w:val="en-US"/>
        </w:rPr>
        <w:t xml:space="preserve">In the training set, we followed a stepwise process beginning with baseline models whose performance was improved by adding other explanatory variables in an iterative way to test their contribution. The iterations and modelling variables tested in each model are summarized in Table 2. Mean decrease accuracy was used to assess the relative feature importance of the variables in the models </w:t>
      </w:r>
      <w:r w:rsidRPr="00EA753B">
        <w:rPr>
          <w:lang w:val="en-US"/>
        </w:rPr>
        <w:fldChar w:fldCharType="begin"/>
      </w:r>
      <w:r w:rsidRPr="00EA753B">
        <w:rPr>
          <w:lang w:val="en-US"/>
        </w:rPr>
        <w:instrText xml:space="preserve"> ADDIN ZOTERO_ITEM CSL_CITATION {"citationID":"bn6LTRWt","properties":{"formattedCitation":"[22]","plainCitation":"[22]","noteIndex":0},"citationItems":[{"id":1136,"uris":["http://zotero.org/users/4834886/items/BDCGCANM"],"uri":["http://zotero.org/users/4834886/items/BDCGCANM"],"itemData":{"id":1136,"type":"article-journal","container-title":"Journal of Machine Learning Research","ISSN":"ISSN 1533-7928","issue":"Apr","page":"1063-1095","source":"www.jmlr.org","title":"Analysis of a Random Forests Model","volume":"13","author":[{"family":"Biau","given":"Gérard"}],"issued":{"date-parts":[["2012"]]}}}],"schema":"https://github.com/citation-style-language/schema/raw/master/csl-citation.json"} </w:instrText>
      </w:r>
      <w:r w:rsidRPr="00EA753B">
        <w:rPr>
          <w:lang w:val="en-US"/>
        </w:rPr>
        <w:fldChar w:fldCharType="separate"/>
      </w:r>
      <w:r w:rsidRPr="00EA753B">
        <w:rPr>
          <w:lang w:val="en-US"/>
        </w:rPr>
        <w:t>[22]</w:t>
      </w:r>
      <w:r w:rsidRPr="00EA753B">
        <w:rPr>
          <w:lang w:val="en-US"/>
        </w:rPr>
        <w:fldChar w:fldCharType="end"/>
      </w:r>
      <w:r w:rsidRPr="00EA753B">
        <w:rPr>
          <w:lang w:val="en-US"/>
        </w:rPr>
        <w:t xml:space="preserve">. This technique computes the accuracy of the trees that build the model for the out-of-the bag sample of each tree. Then, for each variable, it permutes the values of the variables one after another and measures how much the accuracy changes.  Any decrease in accuracy resulting from this permutation is averaged over all trees, and used as a measure of the importance of each variable in the random forest model. </w:t>
      </w:r>
    </w:p>
    <w:p w:rsidR="00EA753B" w:rsidRPr="00EA753B" w:rsidRDefault="00EA753B" w:rsidP="00EA753B">
      <w:pPr>
        <w:rPr>
          <w:lang w:val="en-US"/>
        </w:rPr>
      </w:pPr>
      <w:r w:rsidRPr="00EA753B">
        <w:rPr>
          <w:lang w:val="en-US"/>
        </w:rPr>
        <w:t>All the predictive models have been evaluated using a k-fold cross validation approach, with k =10 and 10 repetitions. This evaluation technique consists of splitting the number of data instances available into k subsets, such that the model is trained and tested k times, using k-1 subsets for the training each time, and the remaining subset for the testing, until all subsets have been used once for testing. As the random seed for splitting the dataset may introduce a small variation in the results, the repeated approach makes it possible to obtain more stable and realistic results by computing the average metrics for 10 repetitions using 10 different seeds to split the dataset. The main advantage of this evaluation technique is that it maximizes the availability of data for training the models, as it allows all the data instances to be used both for training and validation purposes in different iterations. In addition, it gives accurate estimates of the performance of the prediction models for unseen data.  The same process was carried out separately for the psychotic and depressive symptom models for which discriminatory power was assessed.</w:t>
      </w:r>
    </w:p>
    <w:p w:rsidR="00EA753B" w:rsidRPr="00EA753B" w:rsidRDefault="00EA753B" w:rsidP="00EA753B">
      <w:pPr>
        <w:rPr>
          <w:lang w:val="en-US"/>
        </w:rPr>
      </w:pPr>
      <w:r w:rsidRPr="00EA753B">
        <w:rPr>
          <w:lang w:val="en-US"/>
        </w:rPr>
        <w:lastRenderedPageBreak/>
        <w:t xml:space="preserve">Discriminatory power refers to the ability of a prediction model to distinguish between two outcome classes.  In order to evaluate the classification ability of the models, the following statistics were calculated for each model: the area under the receiver operating curve (AUC), sensitivity, specificity, accuracy, no-information rate and Kappa index. The AUC gives an overview of a model’s ability to discriminate between positive and negative classes, independently of their prevalence, and is therefore suitable for imbalanced datasets. Sensitivity or the true positive rate (TPR) is defined as the number of cases from the positive class that were predicted correctly by the model, while specificity or the true negative rate refers to the number of cases from the negative class that were actually predicted as negative. The no-information rate is the accuracy that can be achieved without using any model. Accuracy means the proportion of correct classifications by the model. The Kappa index measures the agreement between two approaches to classify mutually exclusive categories, agreement being characterized as slight (for values of 0–0.20), fair (0.21–0.40), moderate (0.41–0.60) or substantial (0.61–0.80) </w:t>
      </w:r>
      <w:r w:rsidRPr="00EA753B">
        <w:rPr>
          <w:lang w:val="en-US"/>
        </w:rPr>
        <w:fldChar w:fldCharType="begin"/>
      </w:r>
      <w:r w:rsidRPr="00EA753B">
        <w:rPr>
          <w:lang w:val="en-US"/>
        </w:rPr>
        <w:instrText xml:space="preserve"> ADDIN ZOTERO_ITEM CSL_CITATION {"citationID":"wBwPDGta","properties":{"formattedCitation":"[23]","plainCitation":"[23]","noteIndex":0},"citationItems":[{"id":1223,"uris":["http://zotero.org/users/4834886/items/EURVUYSE"],"uri":["http://zotero.org/users/4834886/items/EURVUYSE"],"itemData":{"id":1223,"type":"article-journal","abstract":"This paper presents a general statistical methodology for the analysis of multivariate categorical data arising from observer reliability studies. The procedure essentially involves the construction of functions of the observed proportions which are directed at the extent to which the observers agree among themselves and the construction of test statistics for hypotheses involving these functions. Tests for interobserver bias are presented in terms of first-order marginal homogeneity and measures of interobserver agreement are developed as generalized kappa-type statistics. These procedures are illustrated with a clinical diagnosis example from the epidemiological literature.","container-title":"Biometrics","ISSN":"0006-341X","issue":"1","journalAbbreviation":"Biometrics","language":"eng","note":"PMID: 843571","page":"159-174","source":"PubMed","title":"The measurement of observer agreement for categorical data","volume":"33","author":[{"family":"Landis","given":"J. R."},{"family":"Koch","given":"G. G."}],"issued":{"date-parts":[["1977",3]]}}}],"schema":"https://github.com/citation-style-language/schema/raw/master/csl-citation.json"} </w:instrText>
      </w:r>
      <w:r w:rsidRPr="00EA753B">
        <w:rPr>
          <w:lang w:val="en-US"/>
        </w:rPr>
        <w:fldChar w:fldCharType="separate"/>
      </w:r>
      <w:r w:rsidRPr="00EA753B">
        <w:rPr>
          <w:lang w:val="en-US"/>
        </w:rPr>
        <w:t>[23]</w:t>
      </w:r>
      <w:r w:rsidRPr="00EA753B">
        <w:rPr>
          <w:lang w:val="en-US"/>
        </w:rPr>
        <w:fldChar w:fldCharType="end"/>
      </w:r>
      <w:r w:rsidRPr="00EA753B">
        <w:rPr>
          <w:lang w:val="en-US"/>
        </w:rPr>
        <w:t>.</w:t>
      </w:r>
    </w:p>
    <w:p w:rsidR="001C286D" w:rsidRPr="001C286D" w:rsidRDefault="001C286D" w:rsidP="001C286D">
      <w:pPr>
        <w:rPr>
          <w:lang w:val="en-US"/>
        </w:rPr>
      </w:pPr>
      <w:r w:rsidRPr="001C286D">
        <w:rPr>
          <w:lang w:val="en-US"/>
        </w:rPr>
        <w:br w:type="page"/>
      </w:r>
    </w:p>
    <w:p w:rsidR="001C286D" w:rsidRPr="001C286D" w:rsidRDefault="00B079F9" w:rsidP="001C286D">
      <w:pPr>
        <w:rPr>
          <w:sz w:val="20"/>
          <w:szCs w:val="20"/>
          <w:lang w:val="en-US"/>
        </w:rPr>
      </w:pPr>
      <w:r>
        <w:rPr>
          <w:szCs w:val="20"/>
          <w:lang w:val="en-US"/>
        </w:rPr>
        <w:lastRenderedPageBreak/>
        <w:t>Table S</w:t>
      </w:r>
      <w:r w:rsidR="001C286D" w:rsidRPr="001C286D">
        <w:rPr>
          <w:szCs w:val="20"/>
          <w:lang w:val="en-US"/>
        </w:rPr>
        <w:t>3. Treatments of patients disaggregated by psychotic and depressive disorder according to health records review</w:t>
      </w:r>
      <w:r w:rsidR="001C286D" w:rsidRPr="001C286D">
        <w:rPr>
          <w:sz w:val="20"/>
          <w:szCs w:val="20"/>
          <w:lang w:val="en-US"/>
        </w:rPr>
        <w:t xml:space="preserve"> </w:t>
      </w:r>
    </w:p>
    <w:tbl>
      <w:tblPr>
        <w:tblW w:w="5147" w:type="pct"/>
        <w:tblLook w:val="07E0" w:firstRow="1" w:lastRow="1" w:firstColumn="1" w:lastColumn="1" w:noHBand="1" w:noVBand="1"/>
      </w:tblPr>
      <w:tblGrid>
        <w:gridCol w:w="2147"/>
        <w:gridCol w:w="1298"/>
        <w:gridCol w:w="1298"/>
        <w:gridCol w:w="1298"/>
        <w:gridCol w:w="1298"/>
        <w:gridCol w:w="1637"/>
      </w:tblGrid>
      <w:tr w:rsidR="001C286D" w:rsidRPr="001C286D" w:rsidTr="00EA753B">
        <w:tc>
          <w:tcPr>
            <w:tcW w:w="0" w:type="auto"/>
            <w:tcBorders>
              <w:bottom w:val="single" w:sz="0" w:space="0" w:color="auto"/>
            </w:tcBorders>
            <w:vAlign w:val="bottom"/>
          </w:tcPr>
          <w:p w:rsidR="001C286D" w:rsidRPr="001C286D" w:rsidRDefault="001C286D" w:rsidP="001C286D">
            <w:pPr>
              <w:spacing w:before="36" w:after="36" w:line="240" w:lineRule="auto"/>
              <w:rPr>
                <w:sz w:val="20"/>
                <w:szCs w:val="20"/>
                <w:lang w:val="en-US"/>
              </w:rPr>
            </w:pPr>
          </w:p>
          <w:p w:rsidR="001C286D" w:rsidRPr="001C286D" w:rsidRDefault="001C286D" w:rsidP="001C286D">
            <w:pPr>
              <w:spacing w:before="36" w:after="36" w:line="240" w:lineRule="auto"/>
              <w:rPr>
                <w:sz w:val="20"/>
                <w:szCs w:val="20"/>
                <w:lang w:val="en-US"/>
              </w:rPr>
            </w:pPr>
          </w:p>
        </w:tc>
        <w:tc>
          <w:tcPr>
            <w:tcW w:w="1446" w:type="pct"/>
            <w:gridSpan w:val="2"/>
            <w:tcBorders>
              <w:bottom w:val="single" w:sz="0" w:space="0" w:color="auto"/>
            </w:tcBorders>
            <w:vAlign w:val="bottom"/>
          </w:tcPr>
          <w:p w:rsidR="001C286D" w:rsidRPr="001C286D" w:rsidRDefault="001C286D" w:rsidP="001C286D">
            <w:pPr>
              <w:spacing w:before="36" w:after="36" w:line="240" w:lineRule="auto"/>
              <w:jc w:val="center"/>
              <w:rPr>
                <w:sz w:val="20"/>
                <w:szCs w:val="20"/>
                <w:lang w:val="en-US"/>
              </w:rPr>
            </w:pPr>
            <w:r w:rsidRPr="001C286D">
              <w:rPr>
                <w:sz w:val="20"/>
                <w:szCs w:val="20"/>
                <w:lang w:val="en-US"/>
              </w:rPr>
              <w:t>Psychotic symptoms in EHR</w:t>
            </w:r>
          </w:p>
        </w:tc>
        <w:tc>
          <w:tcPr>
            <w:tcW w:w="1446" w:type="pct"/>
            <w:gridSpan w:val="2"/>
            <w:tcBorders>
              <w:bottom w:val="single" w:sz="0" w:space="0" w:color="auto"/>
            </w:tcBorders>
            <w:vAlign w:val="bottom"/>
          </w:tcPr>
          <w:p w:rsidR="001C286D" w:rsidRPr="001C286D" w:rsidRDefault="001C286D" w:rsidP="001C286D">
            <w:pPr>
              <w:spacing w:before="36" w:after="36" w:line="240" w:lineRule="auto"/>
              <w:jc w:val="center"/>
              <w:rPr>
                <w:sz w:val="20"/>
                <w:szCs w:val="20"/>
                <w:lang w:val="en-US"/>
              </w:rPr>
            </w:pPr>
            <w:r w:rsidRPr="001C286D">
              <w:rPr>
                <w:sz w:val="20"/>
                <w:szCs w:val="20"/>
                <w:lang w:val="en-US"/>
              </w:rPr>
              <w:t>Depressive symptoms in EHR</w:t>
            </w:r>
          </w:p>
        </w:tc>
        <w:tc>
          <w:tcPr>
            <w:tcW w:w="912" w:type="pct"/>
            <w:tcBorders>
              <w:bottom w:val="single" w:sz="0" w:space="0" w:color="auto"/>
            </w:tcBorders>
            <w:vAlign w:val="bottom"/>
          </w:tcPr>
          <w:p w:rsidR="001C286D" w:rsidRPr="001C286D" w:rsidRDefault="001C286D" w:rsidP="001C286D">
            <w:pPr>
              <w:spacing w:before="36" w:after="36" w:line="240" w:lineRule="auto"/>
              <w:jc w:val="center"/>
              <w:rPr>
                <w:sz w:val="20"/>
                <w:szCs w:val="20"/>
                <w:lang w:val="en-US"/>
              </w:rPr>
            </w:pPr>
          </w:p>
        </w:tc>
      </w:tr>
      <w:tr w:rsidR="001C286D" w:rsidRPr="001C286D" w:rsidTr="00EA753B">
        <w:tc>
          <w:tcPr>
            <w:tcW w:w="0" w:type="auto"/>
            <w:tcBorders>
              <w:bottom w:val="single" w:sz="0" w:space="0" w:color="auto"/>
            </w:tcBorders>
            <w:vAlign w:val="bottom"/>
          </w:tcPr>
          <w:p w:rsidR="001C286D" w:rsidRPr="001C286D" w:rsidRDefault="001C286D" w:rsidP="001C286D">
            <w:pPr>
              <w:spacing w:before="36" w:after="36" w:line="240" w:lineRule="auto"/>
              <w:rPr>
                <w:sz w:val="20"/>
                <w:szCs w:val="20"/>
                <w:lang w:val="en-US"/>
              </w:rPr>
            </w:pPr>
          </w:p>
        </w:tc>
        <w:tc>
          <w:tcPr>
            <w:tcW w:w="723" w:type="pct"/>
            <w:tcBorders>
              <w:bottom w:val="single" w:sz="0" w:space="0" w:color="auto"/>
            </w:tcBorders>
            <w:vAlign w:val="bottom"/>
          </w:tcPr>
          <w:p w:rsidR="001C286D" w:rsidRPr="001C286D" w:rsidRDefault="001C286D" w:rsidP="001C286D">
            <w:pPr>
              <w:spacing w:before="36" w:after="36" w:line="240" w:lineRule="auto"/>
              <w:jc w:val="center"/>
              <w:rPr>
                <w:sz w:val="20"/>
                <w:szCs w:val="20"/>
                <w:lang w:val="en-US"/>
              </w:rPr>
            </w:pPr>
            <w:r w:rsidRPr="001C286D">
              <w:rPr>
                <w:sz w:val="20"/>
                <w:szCs w:val="20"/>
                <w:lang w:val="en-US"/>
              </w:rPr>
              <w:t>Yes</w:t>
            </w:r>
          </w:p>
          <w:p w:rsidR="001C286D" w:rsidRPr="001C286D" w:rsidRDefault="001C286D" w:rsidP="001C286D">
            <w:pPr>
              <w:spacing w:before="36" w:after="36" w:line="240" w:lineRule="auto"/>
              <w:jc w:val="center"/>
              <w:rPr>
                <w:sz w:val="20"/>
                <w:szCs w:val="20"/>
                <w:lang w:val="en-US"/>
              </w:rPr>
            </w:pPr>
            <w:r w:rsidRPr="001C286D">
              <w:rPr>
                <w:sz w:val="20"/>
                <w:szCs w:val="20"/>
                <w:lang w:val="en-US"/>
              </w:rPr>
              <w:t xml:space="preserve"> N=2307</w:t>
            </w:r>
          </w:p>
        </w:tc>
        <w:tc>
          <w:tcPr>
            <w:tcW w:w="723" w:type="pct"/>
            <w:tcBorders>
              <w:bottom w:val="single" w:sz="0" w:space="0" w:color="auto"/>
            </w:tcBorders>
            <w:vAlign w:val="bottom"/>
          </w:tcPr>
          <w:p w:rsidR="001C286D" w:rsidRPr="001C286D" w:rsidRDefault="001C286D" w:rsidP="001C286D">
            <w:pPr>
              <w:spacing w:before="36" w:after="36" w:line="240" w:lineRule="auto"/>
              <w:jc w:val="center"/>
              <w:rPr>
                <w:sz w:val="20"/>
                <w:szCs w:val="20"/>
                <w:lang w:val="en-US"/>
              </w:rPr>
            </w:pPr>
            <w:r w:rsidRPr="001C286D">
              <w:rPr>
                <w:sz w:val="20"/>
                <w:szCs w:val="20"/>
                <w:lang w:val="en-US"/>
              </w:rPr>
              <w:t>No</w:t>
            </w:r>
          </w:p>
          <w:p w:rsidR="001C286D" w:rsidRPr="001C286D" w:rsidRDefault="001C286D" w:rsidP="001C286D">
            <w:pPr>
              <w:spacing w:before="36" w:after="36" w:line="240" w:lineRule="auto"/>
              <w:jc w:val="center"/>
              <w:rPr>
                <w:sz w:val="20"/>
                <w:szCs w:val="20"/>
                <w:lang w:val="en-US"/>
              </w:rPr>
            </w:pPr>
            <w:r w:rsidRPr="001C286D">
              <w:rPr>
                <w:sz w:val="20"/>
                <w:szCs w:val="20"/>
                <w:lang w:val="en-US"/>
              </w:rPr>
              <w:t xml:space="preserve"> N=1696</w:t>
            </w:r>
          </w:p>
        </w:tc>
        <w:tc>
          <w:tcPr>
            <w:tcW w:w="723" w:type="pct"/>
            <w:tcBorders>
              <w:bottom w:val="single" w:sz="0" w:space="0" w:color="auto"/>
            </w:tcBorders>
            <w:vAlign w:val="bottom"/>
          </w:tcPr>
          <w:p w:rsidR="001C286D" w:rsidRPr="001C286D" w:rsidRDefault="001C286D" w:rsidP="001C286D">
            <w:pPr>
              <w:spacing w:before="36" w:after="36" w:line="240" w:lineRule="auto"/>
              <w:jc w:val="center"/>
              <w:rPr>
                <w:sz w:val="20"/>
                <w:szCs w:val="20"/>
                <w:lang w:val="en-US"/>
              </w:rPr>
            </w:pPr>
            <w:r w:rsidRPr="001C286D">
              <w:rPr>
                <w:sz w:val="20"/>
                <w:szCs w:val="20"/>
                <w:lang w:val="en-US"/>
              </w:rPr>
              <w:t>Yes</w:t>
            </w:r>
          </w:p>
          <w:p w:rsidR="001C286D" w:rsidRPr="001C286D" w:rsidRDefault="001C286D" w:rsidP="001C286D">
            <w:pPr>
              <w:spacing w:before="36" w:after="36" w:line="240" w:lineRule="auto"/>
              <w:jc w:val="center"/>
              <w:rPr>
                <w:sz w:val="20"/>
                <w:szCs w:val="20"/>
                <w:lang w:val="en-US"/>
              </w:rPr>
            </w:pPr>
            <w:r w:rsidRPr="001C286D">
              <w:rPr>
                <w:sz w:val="20"/>
                <w:szCs w:val="20"/>
                <w:lang w:val="en-US"/>
              </w:rPr>
              <w:t xml:space="preserve"> N=2356</w:t>
            </w:r>
          </w:p>
        </w:tc>
        <w:tc>
          <w:tcPr>
            <w:tcW w:w="723" w:type="pct"/>
            <w:tcBorders>
              <w:bottom w:val="single" w:sz="0" w:space="0" w:color="auto"/>
            </w:tcBorders>
            <w:vAlign w:val="bottom"/>
          </w:tcPr>
          <w:p w:rsidR="001C286D" w:rsidRPr="001C286D" w:rsidRDefault="001C286D" w:rsidP="001C286D">
            <w:pPr>
              <w:spacing w:before="36" w:after="36" w:line="240" w:lineRule="auto"/>
              <w:jc w:val="center"/>
              <w:rPr>
                <w:sz w:val="20"/>
                <w:szCs w:val="20"/>
                <w:lang w:val="en-US"/>
              </w:rPr>
            </w:pPr>
            <w:r w:rsidRPr="001C286D">
              <w:rPr>
                <w:sz w:val="20"/>
                <w:szCs w:val="20"/>
                <w:lang w:val="en-US"/>
              </w:rPr>
              <w:t>No</w:t>
            </w:r>
          </w:p>
          <w:p w:rsidR="001C286D" w:rsidRPr="001C286D" w:rsidRDefault="001C286D" w:rsidP="001C286D">
            <w:pPr>
              <w:spacing w:before="36" w:after="36" w:line="240" w:lineRule="auto"/>
              <w:jc w:val="center"/>
              <w:rPr>
                <w:sz w:val="20"/>
                <w:szCs w:val="20"/>
                <w:lang w:val="en-US"/>
              </w:rPr>
            </w:pPr>
            <w:r w:rsidRPr="001C286D">
              <w:rPr>
                <w:sz w:val="20"/>
                <w:szCs w:val="20"/>
                <w:lang w:val="en-US"/>
              </w:rPr>
              <w:t xml:space="preserve"> N=1647</w:t>
            </w:r>
          </w:p>
        </w:tc>
        <w:tc>
          <w:tcPr>
            <w:tcW w:w="912" w:type="pct"/>
            <w:tcBorders>
              <w:bottom w:val="single" w:sz="0" w:space="0" w:color="auto"/>
            </w:tcBorders>
            <w:vAlign w:val="bottom"/>
          </w:tcPr>
          <w:p w:rsidR="001C286D" w:rsidRPr="001C286D" w:rsidRDefault="001C286D" w:rsidP="001C286D">
            <w:pPr>
              <w:spacing w:before="36" w:after="36" w:line="240" w:lineRule="auto"/>
              <w:jc w:val="center"/>
              <w:rPr>
                <w:sz w:val="20"/>
                <w:szCs w:val="20"/>
                <w:lang w:val="en-US"/>
              </w:rPr>
            </w:pPr>
            <w:r w:rsidRPr="001C286D">
              <w:rPr>
                <w:sz w:val="20"/>
                <w:szCs w:val="20"/>
                <w:lang w:val="en-US"/>
              </w:rPr>
              <w:t xml:space="preserve">Total </w:t>
            </w:r>
          </w:p>
          <w:p w:rsidR="001C286D" w:rsidRPr="001C286D" w:rsidRDefault="001C286D" w:rsidP="001C286D">
            <w:pPr>
              <w:spacing w:before="36" w:after="36" w:line="240" w:lineRule="auto"/>
              <w:jc w:val="center"/>
              <w:rPr>
                <w:sz w:val="20"/>
                <w:szCs w:val="20"/>
                <w:lang w:val="en-US"/>
              </w:rPr>
            </w:pPr>
            <w:r w:rsidRPr="001C286D">
              <w:rPr>
                <w:sz w:val="20"/>
                <w:szCs w:val="20"/>
                <w:lang w:val="en-US"/>
              </w:rPr>
              <w:t>N=4003</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Antipsychotic treatment</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1628 (70.6%)</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467 (27.5%)</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1337 (56.7%)</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758 (46.0%)</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2095 (52.3%)</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Antidepressant treatment</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1731 (75.0%)</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988 (58.3%)</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1890 (80.2%)</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829 (50.3%)</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2719 (67.9%)</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Trazodone</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1114 (48.3%)</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405 (23.9%)</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1007 (42.7%)</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512 (31.1%)</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1519 (37.9%)</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Paroxetine</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182 (7.89%)</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138 (8.14%)</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251 (10.7%)</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69 (4.19%)</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320 (7.99%)</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Citalopram</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160 (6.94%)</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114 (6.72%)</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220 (9.34%)</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54 (3.28%)</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274 (6.84%)</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Mirtazapine</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299 (13.0%)</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195 (11.5%)</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390 (16.6%)</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104 (6.31%)</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494 (12.3%)</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Duloxetine</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207 (8.97%)</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123 (7.25%)</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284 (12.1%)</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46 (2.79%)</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330 (8.24%)</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Amitriptyline</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104 (4.51%)</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76 (4.48%)</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124 (5.26%)</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56 (3.40%)</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180 (4.50%)</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Desvenlafaxine</w:t>
            </w:r>
            <w:proofErr w:type="spellEnd"/>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56 (2.43%)</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25 (1.47%)</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71 (3.01%)</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10 (0.61%)</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81 (2.02%)</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Fluoxetine</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55 (2.38%)</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53 (3.12%)</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88 (3.74%)</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20 (1.21%)</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108 (2.70%)</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Sertraline</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254 (11.0%)</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148 (8.73%)</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329 (14.0%)</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73 (4.43%)</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402 (10.0%)</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Escitalopram</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385 (16.7%)</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266 (15.7%)</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545 (23.1%)</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106 (6.44%)</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651 (16.3%)</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Mianserin</w:t>
            </w:r>
            <w:proofErr w:type="spellEnd"/>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32 (1.39%)</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26 (1.53%)</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41 (1.74%)</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17 (1.03%)</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58 (1.45%)</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Venlafaxine</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135 (5.85%)</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69 (4.07%)</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169 (7.17%)</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35 (2.13%)</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204 (5.10%)</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Bupropion</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22 (0.95%)</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15 (0.88%)</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32 (1.36%)</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5 (0.30%)</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37 (0.92%)</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Vortioxetine</w:t>
            </w:r>
            <w:proofErr w:type="spellEnd"/>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31 (1.34%)</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27 (1.59%)</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54 (2.29%)</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 (0.24%)</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58 (1.45%)</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Agomelatine</w:t>
            </w:r>
            <w:proofErr w:type="spellEnd"/>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23 (1.00%)</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15 (0.88%)</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34 (1.44%)</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 (0.24%)</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38 (0.95%)</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Nortriptyline</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 (0.04%)</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 (0.06%)</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 (0.08%)</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0 (0.00%)</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 (0.05%)</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Maprotiline</w:t>
            </w:r>
            <w:proofErr w:type="spellEnd"/>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 (0.09%)</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 (0.12%)</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 (0.17%)</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0 (0.00%)</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 (0.10%)</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Clomipramine</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10 (0.43%)</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3 (0.18%)</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10 (0.42%)</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3 (0.18%)</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13 (0.32%)</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Fluvoxamine</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5 (0.22%)</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6 (0.35%)</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7 (0.30%)</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 (0.24%)</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11 (0.27%)</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Risperidone</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461 (20.0%)</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29 (1.71%)</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345 (14.6%)</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145 (8.80%)</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490 (12.2%)</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Haloperidol</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586 (25.4%)</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84 (4.95%)</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414 (17.6%)</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256 (15.5%)</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670 (16.7%)</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Quetiapine</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1053 (45.6%)</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103 (6.07%)</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779 (33.1%)</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377 (22.9%)</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1156 (28.9%)</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Sulpiride</w:t>
            </w:r>
            <w:proofErr w:type="spellEnd"/>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262 (11.4%)</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273 (16.1%)</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333 (14.1%)</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202 (12.3%)</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535 (13.4%)</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Levomepromazine</w:t>
            </w:r>
            <w:proofErr w:type="spellEnd"/>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38 (1.65%)</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7 (0.41%)</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31 (1.32%)</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14 (0.85%)</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45 (1.12%)</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Clozapine</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20 (0.87%)</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 (0.12%)</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17 (0.72%)</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5 (0.30%)</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22 (0.55%)</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Tiapride</w:t>
            </w:r>
            <w:proofErr w:type="spellEnd"/>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41 (1.78%)</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10 (0.59%)</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41 (1.74%)</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10 (0.61%)</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51 (1.27%)</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Olanzapine</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106 (4.59%)</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14 (0.83%)</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93 (3.95%)</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27 (1.64%)</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120 (3.00%)</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Paliperidone</w:t>
            </w:r>
            <w:proofErr w:type="spellEnd"/>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21 (0.91%)</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6 (0.35%)</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23 (0.98%)</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 (0.24%)</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27 (0.67%)</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Lithium</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10 (0.43%)</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0 (0.00%)</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9 (0.38%)</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 (0.06%)</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10 (0.25%)</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Chlorpromazine</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9 (0.39%)</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0 (0.00%)</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5 (0.21%)</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 (0.24%)</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9 (0.22%)</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Aripiprazole</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38 (1.65%)</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11 (0.65%)</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40 (1.70%)</w:t>
            </w:r>
          </w:p>
        </w:tc>
        <w:tc>
          <w:tcPr>
            <w:tcW w:w="723"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9 (0.55%)</w:t>
            </w:r>
          </w:p>
        </w:tc>
        <w:tc>
          <w:tcPr>
            <w:tcW w:w="912" w:type="pct"/>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49 (1.22%)</w:t>
            </w:r>
          </w:p>
        </w:tc>
      </w:tr>
    </w:tbl>
    <w:p w:rsidR="001C286D" w:rsidRPr="001C286D" w:rsidRDefault="001C286D" w:rsidP="001C286D">
      <w:pPr>
        <w:keepNext/>
        <w:spacing w:after="120" w:line="240" w:lineRule="auto"/>
        <w:rPr>
          <w:rFonts w:ascii="Calibri" w:hAnsi="Calibri"/>
          <w:sz w:val="20"/>
          <w:szCs w:val="20"/>
          <w:lang w:val="en-US"/>
        </w:rPr>
      </w:pPr>
      <w:r w:rsidRPr="001C286D">
        <w:rPr>
          <w:i/>
          <w:sz w:val="24"/>
          <w:szCs w:val="24"/>
          <w:lang w:val="en-US"/>
        </w:rPr>
        <w:br w:type="page"/>
      </w:r>
    </w:p>
    <w:p w:rsidR="001C286D" w:rsidRPr="001C286D" w:rsidRDefault="00B079F9" w:rsidP="001C286D">
      <w:pPr>
        <w:rPr>
          <w:lang w:val="en-US"/>
        </w:rPr>
      </w:pPr>
      <w:r>
        <w:rPr>
          <w:lang w:val="en-US"/>
        </w:rPr>
        <w:lastRenderedPageBreak/>
        <w:t>Table S</w:t>
      </w:r>
      <w:r w:rsidR="001C286D" w:rsidRPr="001C286D">
        <w:rPr>
          <w:lang w:val="en-US"/>
        </w:rPr>
        <w:t>4. Comparison of patients’ characteristics in training and test sets.</w:t>
      </w:r>
    </w:p>
    <w:tbl>
      <w:tblPr>
        <w:tblW w:w="4939" w:type="pct"/>
        <w:tblLook w:val="07E0" w:firstRow="1" w:lastRow="1" w:firstColumn="1" w:lastColumn="1" w:noHBand="1" w:noVBand="1"/>
      </w:tblPr>
      <w:tblGrid>
        <w:gridCol w:w="2746"/>
        <w:gridCol w:w="1466"/>
        <w:gridCol w:w="1468"/>
        <w:gridCol w:w="1466"/>
        <w:gridCol w:w="1468"/>
      </w:tblGrid>
      <w:tr w:rsidR="001C286D" w:rsidRPr="001C286D" w:rsidTr="00EA753B">
        <w:tc>
          <w:tcPr>
            <w:tcW w:w="0" w:type="auto"/>
            <w:tcBorders>
              <w:bottom w:val="single" w:sz="0" w:space="0" w:color="auto"/>
            </w:tcBorders>
            <w:vAlign w:val="bottom"/>
          </w:tcPr>
          <w:p w:rsidR="001C286D" w:rsidRPr="001C286D" w:rsidRDefault="001C286D" w:rsidP="001C286D">
            <w:pPr>
              <w:spacing w:before="36" w:after="36" w:line="240" w:lineRule="auto"/>
              <w:rPr>
                <w:sz w:val="20"/>
                <w:szCs w:val="20"/>
                <w:lang w:val="en-US"/>
              </w:rPr>
            </w:pPr>
          </w:p>
        </w:tc>
        <w:tc>
          <w:tcPr>
            <w:tcW w:w="851" w:type="pct"/>
            <w:tcBorders>
              <w:bottom w:val="single" w:sz="0" w:space="0" w:color="auto"/>
            </w:tcBorders>
            <w:vAlign w:val="bottom"/>
          </w:tcPr>
          <w:p w:rsidR="001C286D" w:rsidRPr="001C286D" w:rsidRDefault="001C286D" w:rsidP="001C286D">
            <w:pPr>
              <w:spacing w:before="36" w:after="36" w:line="240" w:lineRule="auto"/>
              <w:jc w:val="center"/>
              <w:rPr>
                <w:sz w:val="20"/>
                <w:szCs w:val="20"/>
                <w:lang w:val="en-US"/>
              </w:rPr>
            </w:pPr>
            <w:r w:rsidRPr="001C286D">
              <w:rPr>
                <w:sz w:val="20"/>
                <w:szCs w:val="20"/>
                <w:lang w:val="en-US"/>
              </w:rPr>
              <w:t>Total N=4003</w:t>
            </w:r>
          </w:p>
        </w:tc>
        <w:tc>
          <w:tcPr>
            <w:tcW w:w="852" w:type="pct"/>
            <w:tcBorders>
              <w:bottom w:val="single" w:sz="0" w:space="0" w:color="auto"/>
            </w:tcBorders>
            <w:vAlign w:val="bottom"/>
          </w:tcPr>
          <w:p w:rsidR="001C286D" w:rsidRPr="001C286D" w:rsidRDefault="001C286D" w:rsidP="001C286D">
            <w:pPr>
              <w:spacing w:before="36" w:after="36" w:line="240" w:lineRule="auto"/>
              <w:jc w:val="center"/>
              <w:rPr>
                <w:sz w:val="20"/>
                <w:szCs w:val="20"/>
                <w:lang w:val="en-US"/>
              </w:rPr>
            </w:pPr>
            <w:r w:rsidRPr="001C286D">
              <w:rPr>
                <w:sz w:val="20"/>
                <w:szCs w:val="20"/>
                <w:lang w:val="en-US"/>
              </w:rPr>
              <w:t>Training set N=3003</w:t>
            </w:r>
          </w:p>
        </w:tc>
        <w:tc>
          <w:tcPr>
            <w:tcW w:w="851" w:type="pct"/>
            <w:tcBorders>
              <w:bottom w:val="single" w:sz="0" w:space="0" w:color="auto"/>
            </w:tcBorders>
            <w:vAlign w:val="bottom"/>
          </w:tcPr>
          <w:p w:rsidR="001C286D" w:rsidRPr="001C286D" w:rsidRDefault="001C286D" w:rsidP="001C286D">
            <w:pPr>
              <w:spacing w:before="36" w:after="36" w:line="240" w:lineRule="auto"/>
              <w:jc w:val="center"/>
              <w:rPr>
                <w:sz w:val="20"/>
                <w:szCs w:val="20"/>
                <w:lang w:val="en-US"/>
              </w:rPr>
            </w:pPr>
            <w:r w:rsidRPr="001C286D">
              <w:rPr>
                <w:sz w:val="20"/>
                <w:szCs w:val="20"/>
                <w:lang w:val="en-US"/>
              </w:rPr>
              <w:t>Test set N=1000</w:t>
            </w:r>
          </w:p>
        </w:tc>
        <w:tc>
          <w:tcPr>
            <w:tcW w:w="852" w:type="pct"/>
            <w:tcBorders>
              <w:bottom w:val="single" w:sz="0" w:space="0" w:color="auto"/>
            </w:tcBorders>
            <w:vAlign w:val="bottom"/>
          </w:tcPr>
          <w:p w:rsidR="001C286D" w:rsidRPr="001C286D" w:rsidRDefault="001C286D" w:rsidP="001C286D">
            <w:pPr>
              <w:spacing w:before="36" w:after="36" w:line="240" w:lineRule="auto"/>
              <w:jc w:val="center"/>
              <w:rPr>
                <w:sz w:val="20"/>
                <w:szCs w:val="20"/>
                <w:lang w:val="en-US"/>
              </w:rPr>
            </w:pPr>
            <w:proofErr w:type="spellStart"/>
            <w:r w:rsidRPr="001C286D">
              <w:rPr>
                <w:sz w:val="20"/>
                <w:szCs w:val="20"/>
                <w:lang w:val="en-US"/>
              </w:rPr>
              <w:t>p.overall</w:t>
            </w:r>
            <w:proofErr w:type="spellEnd"/>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Psychotic disorder</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2307 (57.6%)</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1720 (57.3%)</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587 (58.7%)</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0.452</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Depressive disorder</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2356 (58.9%)</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1752 (58.3%)</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604 (60.4%)</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0.268</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Gender: female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2802 (70.0%)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2098 (69.9%)</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704 (70.4%)</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0.779</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Age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85 [80;89]</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85 [80;89]</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85 [80;90]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0.441</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Nursing home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943 (23.6%)</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717 (23.9%)</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226 (22.6%)</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0.435</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Hypertension</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2398 (59.9%)</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1811 (60.3%)</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587 (58.7%)</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0.390</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Diabetes mellitus</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1044 (26.1%)</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798 (26.6%)</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246 (24.6%)</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0.234</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Dyslipidemia</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2059 (51.4%)</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1534 (51.1%)</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525 (52.5%)</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0.459</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Thyroid disease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764 (19.1%)</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580 (19.3%)</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184 (18.4%)</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0.555</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Parkinson’s disease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193 (4.82%)</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141 (4.70%)</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52 (5.20%)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0.575</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Stroke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1212 (30.3%)</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904 (30.1%)</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308 (30.8%)</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0.707</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Cardiovascular disease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790 (19.7%)</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593 (19.7%)</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197 (19.7%)</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1.000</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Traumatic brain injury</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656 (16.4%)</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490 (16.3%)</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166 (16.6%)</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0.873</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Antipsychotic treatment</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2095 (52.3%)</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1562 (52.0%)</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533 (53.3%)</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0.504</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N. antipsychotic treats.</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 [1;2]</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 [1;2]</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 [1;2]</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0.927</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 xml:space="preserve">Changes from </w:t>
            </w:r>
            <w:proofErr w:type="spellStart"/>
            <w:r w:rsidRPr="001C286D">
              <w:rPr>
                <w:sz w:val="20"/>
                <w:szCs w:val="20"/>
                <w:lang w:val="en-US"/>
              </w:rPr>
              <w:t>antidpsy</w:t>
            </w:r>
            <w:proofErr w:type="spellEnd"/>
            <w:r w:rsidRPr="001C286D">
              <w:rPr>
                <w:sz w:val="20"/>
                <w:szCs w:val="20"/>
                <w:lang w:val="en-US"/>
              </w:rPr>
              <w:t xml:space="preserve">. </w:t>
            </w:r>
            <w:proofErr w:type="gramStart"/>
            <w:r w:rsidRPr="001C286D">
              <w:rPr>
                <w:sz w:val="20"/>
                <w:szCs w:val="20"/>
                <w:lang w:val="en-US"/>
              </w:rPr>
              <w:t>to</w:t>
            </w:r>
            <w:proofErr w:type="gramEnd"/>
            <w:r w:rsidRPr="001C286D">
              <w:rPr>
                <w:sz w:val="20"/>
                <w:szCs w:val="20"/>
                <w:lang w:val="en-US"/>
              </w:rPr>
              <w:t xml:space="preserve"> </w:t>
            </w:r>
            <w:proofErr w:type="spellStart"/>
            <w:r w:rsidRPr="001C286D">
              <w:rPr>
                <w:sz w:val="20"/>
                <w:szCs w:val="20"/>
                <w:lang w:val="en-US"/>
              </w:rPr>
              <w:t>antidep</w:t>
            </w:r>
            <w:proofErr w:type="spellEnd"/>
            <w:r w:rsidRPr="001C286D">
              <w:rPr>
                <w:sz w:val="20"/>
                <w:szCs w:val="20"/>
                <w:lang w:val="en-US"/>
              </w:rPr>
              <w:t>.:</w:t>
            </w:r>
          </w:p>
        </w:tc>
        <w:tc>
          <w:tcPr>
            <w:tcW w:w="851" w:type="pct"/>
          </w:tcPr>
          <w:p w:rsidR="001C286D" w:rsidRPr="001C286D" w:rsidRDefault="001C286D" w:rsidP="001C286D">
            <w:pPr>
              <w:spacing w:before="36" w:after="36" w:line="240" w:lineRule="auto"/>
              <w:rPr>
                <w:sz w:val="20"/>
                <w:szCs w:val="20"/>
                <w:lang w:val="en-US"/>
              </w:rPr>
            </w:pPr>
          </w:p>
        </w:tc>
        <w:tc>
          <w:tcPr>
            <w:tcW w:w="852" w:type="pct"/>
          </w:tcPr>
          <w:p w:rsidR="001C286D" w:rsidRPr="001C286D" w:rsidRDefault="001C286D" w:rsidP="001C286D">
            <w:pPr>
              <w:spacing w:before="36" w:after="36" w:line="240" w:lineRule="auto"/>
              <w:rPr>
                <w:sz w:val="20"/>
                <w:szCs w:val="20"/>
                <w:lang w:val="en-US"/>
              </w:rPr>
            </w:pPr>
          </w:p>
        </w:tc>
        <w:tc>
          <w:tcPr>
            <w:tcW w:w="851" w:type="pct"/>
          </w:tcPr>
          <w:p w:rsidR="001C286D" w:rsidRPr="001C286D" w:rsidRDefault="001C286D" w:rsidP="001C286D">
            <w:pPr>
              <w:spacing w:before="36" w:after="36" w:line="240" w:lineRule="auto"/>
              <w:rPr>
                <w:sz w:val="20"/>
                <w:szCs w:val="20"/>
                <w:lang w:val="en-US"/>
              </w:rPr>
            </w:pP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0.857</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    No changes</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370 (17.7%)</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274 (17.5%)</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96 (18.0%)</w:t>
            </w:r>
          </w:p>
        </w:tc>
        <w:tc>
          <w:tcPr>
            <w:tcW w:w="852" w:type="pct"/>
          </w:tcPr>
          <w:p w:rsidR="001C286D" w:rsidRPr="001C286D" w:rsidRDefault="001C286D" w:rsidP="001C286D">
            <w:pPr>
              <w:spacing w:before="36" w:after="36" w:line="240" w:lineRule="auto"/>
              <w:rPr>
                <w:sz w:val="20"/>
                <w:szCs w:val="20"/>
                <w:lang w:val="en-US"/>
              </w:rPr>
            </w:pP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    Some change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1725 (82.3%)</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1288 (82.5%)</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437 (82.0%)</w:t>
            </w:r>
          </w:p>
        </w:tc>
        <w:tc>
          <w:tcPr>
            <w:tcW w:w="852" w:type="pct"/>
          </w:tcPr>
          <w:p w:rsidR="001C286D" w:rsidRPr="001C286D" w:rsidRDefault="001C286D" w:rsidP="001C286D">
            <w:pPr>
              <w:spacing w:before="36" w:after="36" w:line="240" w:lineRule="auto"/>
              <w:rPr>
                <w:sz w:val="20"/>
                <w:szCs w:val="20"/>
                <w:lang w:val="en-US"/>
              </w:rPr>
            </w:pP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 xml:space="preserve">N. changes from </w:t>
            </w:r>
            <w:proofErr w:type="spellStart"/>
            <w:r w:rsidRPr="001C286D">
              <w:rPr>
                <w:sz w:val="20"/>
                <w:szCs w:val="20"/>
                <w:lang w:val="en-US"/>
              </w:rPr>
              <w:t>antidpsy</w:t>
            </w:r>
            <w:proofErr w:type="spellEnd"/>
            <w:r w:rsidRPr="001C286D">
              <w:rPr>
                <w:sz w:val="20"/>
                <w:szCs w:val="20"/>
                <w:lang w:val="en-US"/>
              </w:rPr>
              <w:t xml:space="preserve">. </w:t>
            </w:r>
            <w:proofErr w:type="gramStart"/>
            <w:r w:rsidRPr="001C286D">
              <w:rPr>
                <w:sz w:val="20"/>
                <w:szCs w:val="20"/>
                <w:lang w:val="en-US"/>
              </w:rPr>
              <w:t>to</w:t>
            </w:r>
            <w:proofErr w:type="gramEnd"/>
            <w:r w:rsidRPr="001C286D">
              <w:rPr>
                <w:sz w:val="20"/>
                <w:szCs w:val="20"/>
                <w:lang w:val="en-US"/>
              </w:rPr>
              <w:t xml:space="preserve"> </w:t>
            </w:r>
            <w:proofErr w:type="spellStart"/>
            <w:r w:rsidRPr="001C286D">
              <w:rPr>
                <w:sz w:val="20"/>
                <w:szCs w:val="20"/>
                <w:lang w:val="en-US"/>
              </w:rPr>
              <w:t>antidep</w:t>
            </w:r>
            <w:proofErr w:type="spellEnd"/>
            <w:r w:rsidRPr="001C286D">
              <w:rPr>
                <w:sz w:val="20"/>
                <w:szCs w:val="20"/>
                <w:lang w:val="en-US"/>
              </w:rPr>
              <w:t>.</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 [1;1]</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 [1;1]</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 [1;1]</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0.612</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Antidepressant treatment</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2719 (67.9%)</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2022 (67.3%)</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697 (69.7%)</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0.177</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N. antidepressant treats.</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 [1;2]</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 [1;2]</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 [1;2]</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0.980</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 xml:space="preserve">Changes from </w:t>
            </w:r>
            <w:proofErr w:type="spellStart"/>
            <w:r w:rsidRPr="001C286D">
              <w:rPr>
                <w:sz w:val="20"/>
                <w:szCs w:val="20"/>
                <w:lang w:val="en-US"/>
              </w:rPr>
              <w:t>antidep</w:t>
            </w:r>
            <w:proofErr w:type="spellEnd"/>
            <w:r w:rsidRPr="001C286D">
              <w:rPr>
                <w:sz w:val="20"/>
                <w:szCs w:val="20"/>
                <w:lang w:val="en-US"/>
              </w:rPr>
              <w:t xml:space="preserve">. </w:t>
            </w:r>
            <w:proofErr w:type="gramStart"/>
            <w:r w:rsidRPr="001C286D">
              <w:rPr>
                <w:sz w:val="20"/>
                <w:szCs w:val="20"/>
                <w:lang w:val="en-US"/>
              </w:rPr>
              <w:t>to</w:t>
            </w:r>
            <w:proofErr w:type="gramEnd"/>
            <w:r w:rsidRPr="001C286D">
              <w:rPr>
                <w:sz w:val="20"/>
                <w:szCs w:val="20"/>
                <w:lang w:val="en-US"/>
              </w:rPr>
              <w:t xml:space="preserve"> </w:t>
            </w:r>
            <w:proofErr w:type="spellStart"/>
            <w:r w:rsidRPr="001C286D">
              <w:rPr>
                <w:sz w:val="20"/>
                <w:szCs w:val="20"/>
                <w:lang w:val="en-US"/>
              </w:rPr>
              <w:t>antipsy</w:t>
            </w:r>
            <w:proofErr w:type="spellEnd"/>
            <w:r w:rsidRPr="001C286D">
              <w:rPr>
                <w:sz w:val="20"/>
                <w:szCs w:val="20"/>
                <w:lang w:val="en-US"/>
              </w:rPr>
              <w:t>.:</w:t>
            </w:r>
          </w:p>
        </w:tc>
        <w:tc>
          <w:tcPr>
            <w:tcW w:w="851" w:type="pct"/>
          </w:tcPr>
          <w:p w:rsidR="001C286D" w:rsidRPr="001C286D" w:rsidRDefault="001C286D" w:rsidP="001C286D">
            <w:pPr>
              <w:spacing w:before="36" w:after="36" w:line="240" w:lineRule="auto"/>
              <w:rPr>
                <w:sz w:val="20"/>
                <w:szCs w:val="20"/>
                <w:lang w:val="en-US"/>
              </w:rPr>
            </w:pPr>
          </w:p>
        </w:tc>
        <w:tc>
          <w:tcPr>
            <w:tcW w:w="852" w:type="pct"/>
          </w:tcPr>
          <w:p w:rsidR="001C286D" w:rsidRPr="001C286D" w:rsidRDefault="001C286D" w:rsidP="001C286D">
            <w:pPr>
              <w:spacing w:before="36" w:after="36" w:line="240" w:lineRule="auto"/>
              <w:rPr>
                <w:sz w:val="20"/>
                <w:szCs w:val="20"/>
                <w:lang w:val="en-US"/>
              </w:rPr>
            </w:pPr>
          </w:p>
        </w:tc>
        <w:tc>
          <w:tcPr>
            <w:tcW w:w="851" w:type="pct"/>
          </w:tcPr>
          <w:p w:rsidR="001C286D" w:rsidRPr="001C286D" w:rsidRDefault="001C286D" w:rsidP="001C286D">
            <w:pPr>
              <w:spacing w:before="36" w:after="36" w:line="240" w:lineRule="auto"/>
              <w:rPr>
                <w:sz w:val="20"/>
                <w:szCs w:val="20"/>
                <w:lang w:val="en-US"/>
              </w:rPr>
            </w:pP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0.967</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    No changes</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1463 (53.8%)</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1087 (53.8%)</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376 (53.9%)</w:t>
            </w:r>
          </w:p>
        </w:tc>
        <w:tc>
          <w:tcPr>
            <w:tcW w:w="852" w:type="pct"/>
          </w:tcPr>
          <w:p w:rsidR="001C286D" w:rsidRPr="001C286D" w:rsidRDefault="001C286D" w:rsidP="001C286D">
            <w:pPr>
              <w:spacing w:before="36" w:after="36" w:line="240" w:lineRule="auto"/>
              <w:rPr>
                <w:sz w:val="20"/>
                <w:szCs w:val="20"/>
                <w:lang w:val="en-US"/>
              </w:rPr>
            </w:pP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    Some change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1256 (46.2%)</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935 (46.2%)</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321 (46.1%)</w:t>
            </w:r>
          </w:p>
        </w:tc>
        <w:tc>
          <w:tcPr>
            <w:tcW w:w="852" w:type="pct"/>
          </w:tcPr>
          <w:p w:rsidR="001C286D" w:rsidRPr="001C286D" w:rsidRDefault="001C286D" w:rsidP="001C286D">
            <w:pPr>
              <w:spacing w:before="36" w:after="36" w:line="240" w:lineRule="auto"/>
              <w:rPr>
                <w:sz w:val="20"/>
                <w:szCs w:val="20"/>
                <w:lang w:val="en-US"/>
              </w:rPr>
            </w:pP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 xml:space="preserve">N. changes from </w:t>
            </w:r>
            <w:proofErr w:type="spellStart"/>
            <w:r w:rsidRPr="001C286D">
              <w:rPr>
                <w:sz w:val="20"/>
                <w:szCs w:val="20"/>
                <w:lang w:val="en-US"/>
              </w:rPr>
              <w:t>antidep</w:t>
            </w:r>
            <w:proofErr w:type="spellEnd"/>
            <w:r w:rsidRPr="001C286D">
              <w:rPr>
                <w:sz w:val="20"/>
                <w:szCs w:val="20"/>
                <w:lang w:val="en-US"/>
              </w:rPr>
              <w:t xml:space="preserve">. </w:t>
            </w:r>
            <w:proofErr w:type="gramStart"/>
            <w:r w:rsidRPr="001C286D">
              <w:rPr>
                <w:sz w:val="20"/>
                <w:szCs w:val="20"/>
                <w:lang w:val="en-US"/>
              </w:rPr>
              <w:t>to</w:t>
            </w:r>
            <w:proofErr w:type="gramEnd"/>
            <w:r w:rsidRPr="001C286D">
              <w:rPr>
                <w:sz w:val="20"/>
                <w:szCs w:val="20"/>
                <w:lang w:val="en-US"/>
              </w:rPr>
              <w:t xml:space="preserve"> </w:t>
            </w:r>
            <w:proofErr w:type="spellStart"/>
            <w:r w:rsidRPr="001C286D">
              <w:rPr>
                <w:sz w:val="20"/>
                <w:szCs w:val="20"/>
                <w:lang w:val="en-US"/>
              </w:rPr>
              <w:t>antipsy</w:t>
            </w:r>
            <w:proofErr w:type="spellEnd"/>
            <w:r w:rsidRPr="001C286D">
              <w:rPr>
                <w:sz w:val="20"/>
                <w:szCs w:val="20"/>
                <w:lang w:val="en-US"/>
              </w:rPr>
              <w:t>.</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 [1;1]</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 [1;1]</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 [1;1]</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0.666</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Sedation level:</w:t>
            </w:r>
          </w:p>
        </w:tc>
        <w:tc>
          <w:tcPr>
            <w:tcW w:w="851" w:type="pct"/>
          </w:tcPr>
          <w:p w:rsidR="001C286D" w:rsidRPr="001C286D" w:rsidRDefault="001C286D" w:rsidP="001C286D">
            <w:pPr>
              <w:spacing w:before="36" w:after="36" w:line="240" w:lineRule="auto"/>
              <w:rPr>
                <w:sz w:val="20"/>
                <w:szCs w:val="20"/>
                <w:lang w:val="en-US"/>
              </w:rPr>
            </w:pPr>
          </w:p>
        </w:tc>
        <w:tc>
          <w:tcPr>
            <w:tcW w:w="852" w:type="pct"/>
          </w:tcPr>
          <w:p w:rsidR="001C286D" w:rsidRPr="001C286D" w:rsidRDefault="001C286D" w:rsidP="001C286D">
            <w:pPr>
              <w:spacing w:before="36" w:after="36" w:line="240" w:lineRule="auto"/>
              <w:rPr>
                <w:sz w:val="20"/>
                <w:szCs w:val="20"/>
                <w:lang w:val="en-US"/>
              </w:rPr>
            </w:pPr>
          </w:p>
        </w:tc>
        <w:tc>
          <w:tcPr>
            <w:tcW w:w="851" w:type="pct"/>
          </w:tcPr>
          <w:p w:rsidR="001C286D" w:rsidRPr="001C286D" w:rsidRDefault="001C286D" w:rsidP="001C286D">
            <w:pPr>
              <w:spacing w:before="36" w:after="36" w:line="240" w:lineRule="auto"/>
              <w:rPr>
                <w:sz w:val="20"/>
                <w:szCs w:val="20"/>
                <w:lang w:val="en-US"/>
              </w:rPr>
            </w:pP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0.578</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    None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1226 (30.6%)</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920 (30.6%)</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306 (30.6%)</w:t>
            </w:r>
          </w:p>
        </w:tc>
        <w:tc>
          <w:tcPr>
            <w:tcW w:w="852" w:type="pct"/>
          </w:tcPr>
          <w:p w:rsidR="001C286D" w:rsidRPr="001C286D" w:rsidRDefault="001C286D" w:rsidP="001C286D">
            <w:pPr>
              <w:spacing w:before="36" w:after="36" w:line="240" w:lineRule="auto"/>
              <w:rPr>
                <w:sz w:val="20"/>
                <w:szCs w:val="20"/>
                <w:lang w:val="en-US"/>
              </w:rPr>
            </w:pP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    Minimum</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215 (5.37%)</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164 (5.46%)</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51 (5.10%)</w:t>
            </w:r>
          </w:p>
        </w:tc>
        <w:tc>
          <w:tcPr>
            <w:tcW w:w="852" w:type="pct"/>
          </w:tcPr>
          <w:p w:rsidR="001C286D" w:rsidRPr="001C286D" w:rsidRDefault="001C286D" w:rsidP="001C286D">
            <w:pPr>
              <w:spacing w:before="36" w:after="36" w:line="240" w:lineRule="auto"/>
              <w:rPr>
                <w:sz w:val="20"/>
                <w:szCs w:val="20"/>
                <w:lang w:val="en-US"/>
              </w:rPr>
            </w:pP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    Mild</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1331 (33.3%)</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1012 (33.7%)</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319 (31.9%)</w:t>
            </w:r>
          </w:p>
        </w:tc>
        <w:tc>
          <w:tcPr>
            <w:tcW w:w="852" w:type="pct"/>
          </w:tcPr>
          <w:p w:rsidR="001C286D" w:rsidRPr="001C286D" w:rsidRDefault="001C286D" w:rsidP="001C286D">
            <w:pPr>
              <w:spacing w:before="36" w:after="36" w:line="240" w:lineRule="auto"/>
              <w:rPr>
                <w:sz w:val="20"/>
                <w:szCs w:val="20"/>
                <w:lang w:val="en-US"/>
              </w:rPr>
            </w:pP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    Moderate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1209 (30.2%)</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889 (29.6%)</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320 (32.0%)</w:t>
            </w:r>
          </w:p>
        </w:tc>
        <w:tc>
          <w:tcPr>
            <w:tcW w:w="852" w:type="pct"/>
          </w:tcPr>
          <w:p w:rsidR="001C286D" w:rsidRPr="001C286D" w:rsidRDefault="001C286D" w:rsidP="001C286D">
            <w:pPr>
              <w:spacing w:before="36" w:after="36" w:line="240" w:lineRule="auto"/>
              <w:rPr>
                <w:sz w:val="20"/>
                <w:szCs w:val="20"/>
                <w:lang w:val="en-US"/>
              </w:rPr>
            </w:pP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    Important</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22 (0.55%)</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18 (0.60%)</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4 (0.40%)</w:t>
            </w:r>
          </w:p>
        </w:tc>
        <w:tc>
          <w:tcPr>
            <w:tcW w:w="852" w:type="pct"/>
          </w:tcPr>
          <w:p w:rsidR="001C286D" w:rsidRPr="001C286D" w:rsidRDefault="001C286D" w:rsidP="001C286D">
            <w:pPr>
              <w:spacing w:before="36" w:after="36" w:line="240" w:lineRule="auto"/>
              <w:rPr>
                <w:sz w:val="20"/>
                <w:szCs w:val="20"/>
                <w:lang w:val="en-US"/>
              </w:rPr>
            </w:pP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Antipsychotic treatment</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2095 (52.3%)</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1562 (52.0%)</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533 (53.3%)</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0.504</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Antidepressant treatment</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2719 (67.9%)</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2022 (67.3%)</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697 (69.7%)</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0.177</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Trazodone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1519 (37.9%)</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1131 (37.7%)</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388 (38.8%)</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0.545</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Paroxetine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320 (7.99%)</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241 (8.03%)</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79 (7.90%)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0.953</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Citalopram</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274 (6.84%)</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201 (6.69%)</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73 (7.30%)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0.558</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Mirtazapine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494 (12.3%)</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375 (12.5%)</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119 (11.9%)</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0.664</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lastRenderedPageBreak/>
              <w:t>Duloxetine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330 (8.24%)</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242 (8.06%)</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88 (8.80%)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0.502</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Amitriptyline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180 (4.50%)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132 (4.40%)</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48 (4.80%)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0.655</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proofErr w:type="spellStart"/>
            <w:r w:rsidRPr="001C286D">
              <w:rPr>
                <w:sz w:val="20"/>
                <w:szCs w:val="20"/>
                <w:lang w:val="en-US"/>
              </w:rPr>
              <w:t>Desvenlafaxine</w:t>
            </w:r>
            <w:proofErr w:type="spellEnd"/>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81 (2.02%)</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54 (1.80%)</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27 (2.70%)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0.104</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Fluoxetine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108 (2.70%)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77 (2.56%)</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31 (3.10%)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0.428</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Sertraline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402 (10.0%)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294 (9.79%)</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108 (10.8%)</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0.390</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Escitalopram</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651 (16.3%)</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473 (15.8%)</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178 (17.8%)</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0.141</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proofErr w:type="spellStart"/>
            <w:r w:rsidRPr="001C286D">
              <w:rPr>
                <w:sz w:val="20"/>
                <w:szCs w:val="20"/>
                <w:lang w:val="en-US"/>
              </w:rPr>
              <w:t>Mianserin</w:t>
            </w:r>
            <w:proofErr w:type="spellEnd"/>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58 (1.45%)</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44 (1.47%)</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14 (1.40%)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1.000</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Venlafaxine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204 (5.10%)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161 (5.36%)</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43 (4.30%)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0.215</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Bupropion</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37 (0.92%)</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32 (1.07%)</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5 (0.50%)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0.153</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proofErr w:type="spellStart"/>
            <w:r w:rsidRPr="001C286D">
              <w:rPr>
                <w:sz w:val="20"/>
                <w:szCs w:val="20"/>
                <w:lang w:val="en-US"/>
              </w:rPr>
              <w:t>Vortioxetine</w:t>
            </w:r>
            <w:proofErr w:type="spellEnd"/>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58 (1.45%)</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42 (1.40%)</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16 (1.60%)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0.757</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proofErr w:type="spellStart"/>
            <w:r w:rsidRPr="001C286D">
              <w:rPr>
                <w:sz w:val="20"/>
                <w:szCs w:val="20"/>
                <w:lang w:val="en-US"/>
              </w:rPr>
              <w:t>Agomelatine</w:t>
            </w:r>
            <w:proofErr w:type="spellEnd"/>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38 (0.95%)</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28 (0.93%)</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10 (1.00%)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0.998</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Nortriptyline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 (0.05%)</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 (0.07%)</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 (0.00%)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1.000</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proofErr w:type="spellStart"/>
            <w:r w:rsidRPr="001C286D">
              <w:rPr>
                <w:sz w:val="20"/>
                <w:szCs w:val="20"/>
                <w:lang w:val="en-US"/>
              </w:rPr>
              <w:t>Maprotiline</w:t>
            </w:r>
            <w:proofErr w:type="spellEnd"/>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4 (0.10%)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4 (0.13%)</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 (0.00%)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0.578</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Clomipramine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13 (0.32%)</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10 (0.33%)</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 (0.30%)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1.000</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Fluvoxamine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11 (0.27%)</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8 (0.27%)</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 (0.30%)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0.742</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Risperidone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490 (12.2%)</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375 (12.5%)</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115 (11.5%)</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0.442</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Haloperidol</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670 (16.7%)</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505 (16.8%)</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165 (16.5%)</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0.855</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Quetiapine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1156 (28.9%)</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854 (28.4%)</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302 (30.2%)</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0.306</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proofErr w:type="spellStart"/>
            <w:r w:rsidRPr="001C286D">
              <w:rPr>
                <w:sz w:val="20"/>
                <w:szCs w:val="20"/>
                <w:lang w:val="en-US"/>
              </w:rPr>
              <w:t>Sulpiride</w:t>
            </w:r>
            <w:proofErr w:type="spellEnd"/>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535 (13.4%)</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392 (13.1%)</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143 (14.3%)</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0.342</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proofErr w:type="spellStart"/>
            <w:r w:rsidRPr="001C286D">
              <w:rPr>
                <w:sz w:val="20"/>
                <w:szCs w:val="20"/>
                <w:lang w:val="en-US"/>
              </w:rPr>
              <w:t>Levomepromazine</w:t>
            </w:r>
            <w:proofErr w:type="spellEnd"/>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45 (1.12%)</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34 (1.13%)</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11 (1.10%)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1.000</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Clozapine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22 (0.55%)</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18 (0.60%)</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4 (0.40%)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0.623</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proofErr w:type="spellStart"/>
            <w:r w:rsidRPr="001C286D">
              <w:rPr>
                <w:sz w:val="20"/>
                <w:szCs w:val="20"/>
                <w:lang w:val="en-US"/>
              </w:rPr>
              <w:t>Tiapride</w:t>
            </w:r>
            <w:proofErr w:type="spellEnd"/>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51 (1.27%)</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37 (1.23%)</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14 (1.40%)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0.805</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Olanzapine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120 (3.00%)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85 (2.83%)</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35 (3.50%)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0.333</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proofErr w:type="spellStart"/>
            <w:r w:rsidRPr="001C286D">
              <w:rPr>
                <w:sz w:val="20"/>
                <w:szCs w:val="20"/>
                <w:lang w:val="en-US"/>
              </w:rPr>
              <w:t>Paliperidone</w:t>
            </w:r>
            <w:proofErr w:type="spellEnd"/>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27 (0.67%)</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25 (0.83%)</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2 (0.20%)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0.058</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Lithium</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10 (0.25%)</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7 (0.23%)</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 (0.30%)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0.718</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Chlorpromazine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9 (0.22%)</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8 (0.27%)</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 (0.10%)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0.466</w:t>
            </w:r>
          </w:p>
        </w:tc>
      </w:tr>
      <w:tr w:rsidR="001C286D" w:rsidRPr="001C286D" w:rsidTr="00EA753B">
        <w:tc>
          <w:tcPr>
            <w:tcW w:w="0" w:type="auto"/>
          </w:tcPr>
          <w:p w:rsidR="001C286D" w:rsidRPr="001C286D" w:rsidRDefault="001C286D" w:rsidP="001C286D">
            <w:pPr>
              <w:spacing w:before="36" w:after="36" w:line="240" w:lineRule="auto"/>
              <w:rPr>
                <w:sz w:val="20"/>
                <w:szCs w:val="20"/>
                <w:lang w:val="en-US"/>
              </w:rPr>
            </w:pPr>
            <w:r w:rsidRPr="001C286D">
              <w:rPr>
                <w:sz w:val="20"/>
                <w:szCs w:val="20"/>
                <w:lang w:val="en-US"/>
              </w:rPr>
              <w:t>Aripiprazole</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49 (1.22%)</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33 (1.10%)</w:t>
            </w:r>
          </w:p>
        </w:tc>
        <w:tc>
          <w:tcPr>
            <w:tcW w:w="851"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16 (1.60%)</w:t>
            </w:r>
          </w:p>
        </w:tc>
        <w:tc>
          <w:tcPr>
            <w:tcW w:w="852" w:type="pct"/>
          </w:tcPr>
          <w:p w:rsidR="001C286D" w:rsidRPr="001C286D" w:rsidRDefault="001C286D" w:rsidP="001C286D">
            <w:pPr>
              <w:spacing w:before="36" w:after="36" w:line="240" w:lineRule="auto"/>
              <w:jc w:val="center"/>
              <w:rPr>
                <w:sz w:val="20"/>
                <w:szCs w:val="20"/>
                <w:lang w:val="en-US"/>
              </w:rPr>
            </w:pPr>
            <w:r w:rsidRPr="001C286D">
              <w:rPr>
                <w:sz w:val="20"/>
                <w:szCs w:val="20"/>
                <w:lang w:val="en-US"/>
              </w:rPr>
              <w:t>0.279</w:t>
            </w:r>
          </w:p>
        </w:tc>
      </w:tr>
    </w:tbl>
    <w:p w:rsidR="001C286D" w:rsidRPr="001C286D" w:rsidRDefault="001C286D" w:rsidP="001C286D">
      <w:pPr>
        <w:rPr>
          <w:lang w:val="en-US"/>
        </w:rPr>
      </w:pPr>
    </w:p>
    <w:p w:rsidR="001C286D" w:rsidRPr="001C286D" w:rsidRDefault="001C286D" w:rsidP="001C286D">
      <w:pPr>
        <w:rPr>
          <w:lang w:val="en-US"/>
        </w:rPr>
      </w:pPr>
      <w:r w:rsidRPr="001C286D">
        <w:rPr>
          <w:lang w:val="en-US"/>
        </w:rPr>
        <w:br w:type="page"/>
      </w:r>
    </w:p>
    <w:p w:rsidR="001C286D" w:rsidRPr="001C286D" w:rsidRDefault="001C286D" w:rsidP="001C286D">
      <w:pPr>
        <w:rPr>
          <w:lang w:val="en-US"/>
        </w:rPr>
      </w:pPr>
      <w:r w:rsidRPr="001C286D">
        <w:rPr>
          <w:lang w:val="en-US"/>
        </w:rPr>
        <w:lastRenderedPageBreak/>
        <w:t>Table SM5. Relevance of variables for selected models</w:t>
      </w:r>
    </w:p>
    <w:tbl>
      <w:tblPr>
        <w:tblW w:w="4400" w:type="pct"/>
        <w:tblLook w:val="07E0" w:firstRow="1" w:lastRow="1" w:firstColumn="1" w:lastColumn="1" w:noHBand="1" w:noVBand="1"/>
        <w:tblCaption w:val="Relevance of variables for selected models"/>
      </w:tblPr>
      <w:tblGrid>
        <w:gridCol w:w="3165"/>
        <w:gridCol w:w="672"/>
        <w:gridCol w:w="3165"/>
        <w:gridCol w:w="672"/>
      </w:tblGrid>
      <w:tr w:rsidR="001C286D" w:rsidRPr="001C286D" w:rsidTr="00EA753B">
        <w:tc>
          <w:tcPr>
            <w:tcW w:w="0" w:type="auto"/>
            <w:gridSpan w:val="2"/>
            <w:tcBorders>
              <w:top w:val="single" w:sz="4" w:space="0" w:color="auto"/>
              <w:bottom w:val="single" w:sz="2" w:space="0" w:color="auto"/>
              <w:right w:val="single" w:sz="4" w:space="0" w:color="auto"/>
            </w:tcBorders>
            <w:vAlign w:val="bottom"/>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Model predicting psychotic disorders</w:t>
            </w:r>
          </w:p>
        </w:tc>
        <w:tc>
          <w:tcPr>
            <w:tcW w:w="0" w:type="auto"/>
            <w:gridSpan w:val="2"/>
            <w:tcBorders>
              <w:top w:val="single" w:sz="4" w:space="0" w:color="auto"/>
              <w:left w:val="single" w:sz="4" w:space="0" w:color="auto"/>
              <w:bottom w:val="single" w:sz="2" w:space="0" w:color="auto"/>
            </w:tcBorders>
            <w:vAlign w:val="bottom"/>
          </w:tcPr>
          <w:p w:rsidR="001C286D" w:rsidRPr="001C286D" w:rsidRDefault="001C286D" w:rsidP="001C286D">
            <w:pPr>
              <w:spacing w:before="36" w:after="36" w:line="240" w:lineRule="auto"/>
              <w:jc w:val="center"/>
              <w:rPr>
                <w:rFonts w:ascii="Calibri" w:hAnsi="Calibri"/>
                <w:sz w:val="20"/>
                <w:szCs w:val="20"/>
                <w:lang w:val="en-US"/>
              </w:rPr>
            </w:pPr>
            <w:r w:rsidRPr="001C286D">
              <w:rPr>
                <w:rFonts w:ascii="Calibri" w:hAnsi="Calibri"/>
                <w:sz w:val="20"/>
                <w:szCs w:val="20"/>
                <w:lang w:val="en-US"/>
              </w:rPr>
              <w:t>Model predicting depressive disorders</w:t>
            </w:r>
          </w:p>
        </w:tc>
      </w:tr>
      <w:tr w:rsidR="001C286D" w:rsidRPr="001C286D" w:rsidTr="00EA753B">
        <w:tc>
          <w:tcPr>
            <w:tcW w:w="0" w:type="auto"/>
            <w:tcBorders>
              <w:top w:val="single" w:sz="2" w:space="0" w:color="auto"/>
              <w:bottom w:val="single" w:sz="0" w:space="0" w:color="auto"/>
            </w:tcBorders>
            <w:vAlign w:val="bottom"/>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Variable</w:t>
            </w:r>
          </w:p>
        </w:tc>
        <w:tc>
          <w:tcPr>
            <w:tcW w:w="0" w:type="auto"/>
            <w:tcBorders>
              <w:top w:val="single" w:sz="2" w:space="0" w:color="auto"/>
              <w:bottom w:val="single" w:sz="0" w:space="0" w:color="auto"/>
              <w:right w:val="single" w:sz="4" w:space="0" w:color="auto"/>
            </w:tcBorders>
            <w:vAlign w:val="bottom"/>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MDA</w:t>
            </w:r>
          </w:p>
        </w:tc>
        <w:tc>
          <w:tcPr>
            <w:tcW w:w="0" w:type="auto"/>
            <w:tcBorders>
              <w:top w:val="single" w:sz="2" w:space="0" w:color="auto"/>
              <w:left w:val="single" w:sz="4" w:space="0" w:color="auto"/>
              <w:bottom w:val="single" w:sz="0" w:space="0" w:color="auto"/>
            </w:tcBorders>
            <w:vAlign w:val="bottom"/>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Variable</w:t>
            </w:r>
          </w:p>
        </w:tc>
        <w:tc>
          <w:tcPr>
            <w:tcW w:w="0" w:type="auto"/>
            <w:tcBorders>
              <w:top w:val="single" w:sz="2" w:space="0" w:color="auto"/>
              <w:bottom w:val="single" w:sz="0" w:space="0" w:color="auto"/>
            </w:tcBorders>
            <w:vAlign w:val="bottom"/>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MDA</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Risperidone</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29.63</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N. antidepressant treats.</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46.11</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Sedation level</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29.55</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Escitalopram</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23.29</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Quetiapine</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24.68</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Sedation level</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18.41</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Haloperidol</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23.43</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Sertraline</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17.13</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N. antipsychotic treats.</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22.88</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Age</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17.09</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Sulpiride</w:t>
            </w:r>
            <w:proofErr w:type="spellEnd"/>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16.44</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Duloxetine</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16.38</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Trazodone</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14.04</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Citalopram</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13.02</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 xml:space="preserve">N. changes from </w:t>
            </w:r>
            <w:proofErr w:type="spellStart"/>
            <w:r w:rsidRPr="001C286D">
              <w:rPr>
                <w:rFonts w:ascii="Calibri" w:hAnsi="Calibri"/>
                <w:sz w:val="20"/>
                <w:szCs w:val="20"/>
                <w:lang w:val="en-US"/>
              </w:rPr>
              <w:t>antidep</w:t>
            </w:r>
            <w:proofErr w:type="spellEnd"/>
            <w:r w:rsidRPr="001C286D">
              <w:rPr>
                <w:rFonts w:ascii="Calibri" w:hAnsi="Calibri"/>
                <w:sz w:val="20"/>
                <w:szCs w:val="20"/>
                <w:lang w:val="en-US"/>
              </w:rPr>
              <w:t xml:space="preserve">. </w:t>
            </w:r>
            <w:proofErr w:type="gramStart"/>
            <w:r w:rsidRPr="001C286D">
              <w:rPr>
                <w:rFonts w:ascii="Calibri" w:hAnsi="Calibri"/>
                <w:sz w:val="20"/>
                <w:szCs w:val="20"/>
                <w:lang w:val="en-US"/>
              </w:rPr>
              <w:t>to</w:t>
            </w:r>
            <w:proofErr w:type="gramEnd"/>
            <w:r w:rsidRPr="001C286D">
              <w:rPr>
                <w:rFonts w:ascii="Calibri" w:hAnsi="Calibri"/>
                <w:sz w:val="20"/>
                <w:szCs w:val="20"/>
                <w:lang w:val="en-US"/>
              </w:rPr>
              <w:t xml:space="preserve"> </w:t>
            </w:r>
            <w:proofErr w:type="spellStart"/>
            <w:r w:rsidRPr="001C286D">
              <w:rPr>
                <w:rFonts w:ascii="Calibri" w:hAnsi="Calibri"/>
                <w:sz w:val="20"/>
                <w:szCs w:val="20"/>
                <w:lang w:val="en-US"/>
              </w:rPr>
              <w:t>antipsy</w:t>
            </w:r>
            <w:proofErr w:type="spellEnd"/>
            <w:r w:rsidRPr="001C286D">
              <w:rPr>
                <w:rFonts w:ascii="Calibri" w:hAnsi="Calibri"/>
                <w:sz w:val="20"/>
                <w:szCs w:val="20"/>
                <w:lang w:val="en-US"/>
              </w:rPr>
              <w:t>.</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12.67</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 xml:space="preserve">N. changes from </w:t>
            </w:r>
            <w:proofErr w:type="spellStart"/>
            <w:r w:rsidRPr="001C286D">
              <w:rPr>
                <w:rFonts w:ascii="Calibri" w:hAnsi="Calibri"/>
                <w:sz w:val="20"/>
                <w:szCs w:val="20"/>
                <w:lang w:val="en-US"/>
              </w:rPr>
              <w:t>antipsy</w:t>
            </w:r>
            <w:proofErr w:type="spellEnd"/>
            <w:r w:rsidRPr="001C286D">
              <w:rPr>
                <w:rFonts w:ascii="Calibri" w:hAnsi="Calibri"/>
                <w:sz w:val="20"/>
                <w:szCs w:val="20"/>
                <w:lang w:val="en-US"/>
              </w:rPr>
              <w:t xml:space="preserve">. </w:t>
            </w:r>
            <w:proofErr w:type="gramStart"/>
            <w:r w:rsidRPr="001C286D">
              <w:rPr>
                <w:rFonts w:ascii="Calibri" w:hAnsi="Calibri"/>
                <w:sz w:val="20"/>
                <w:szCs w:val="20"/>
                <w:lang w:val="en-US"/>
              </w:rPr>
              <w:t>to</w:t>
            </w:r>
            <w:proofErr w:type="gramEnd"/>
            <w:r w:rsidRPr="001C286D">
              <w:rPr>
                <w:rFonts w:ascii="Calibri" w:hAnsi="Calibri"/>
                <w:sz w:val="20"/>
                <w:szCs w:val="20"/>
                <w:lang w:val="en-US"/>
              </w:rPr>
              <w:t xml:space="preserve"> </w:t>
            </w:r>
            <w:proofErr w:type="spellStart"/>
            <w:r w:rsidRPr="001C286D">
              <w:rPr>
                <w:rFonts w:ascii="Calibri" w:hAnsi="Calibri"/>
                <w:sz w:val="20"/>
                <w:szCs w:val="20"/>
                <w:lang w:val="en-US"/>
              </w:rPr>
              <w:t>antidep</w:t>
            </w:r>
            <w:proofErr w:type="spellEnd"/>
            <w:r w:rsidRPr="001C286D">
              <w:rPr>
                <w:rFonts w:ascii="Calibri" w:hAnsi="Calibri"/>
                <w:sz w:val="20"/>
                <w:szCs w:val="20"/>
                <w:lang w:val="en-US"/>
              </w:rPr>
              <w:t>.</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12.66</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Parkinson’s disease</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12.38</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Mirtazapine</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11.8</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Nursing home</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9.37</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Trazodone</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7.7</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Sertraline</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8.25</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Risperidone</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6.75</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Vortioxetine</w:t>
            </w:r>
            <w:proofErr w:type="spellEnd"/>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8.09</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Vortioxetine</w:t>
            </w:r>
            <w:proofErr w:type="spellEnd"/>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6.43</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Paroxetine</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5.32</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Venlafaxine</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6.03</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Mirtazapine</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5</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Paroxetine</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5.4</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Escitalopram</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4</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Desvenlafaxine</w:t>
            </w:r>
            <w:proofErr w:type="spellEnd"/>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5.17</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Olanzapine</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3.06</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Quetiapine</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4.31</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Stroke</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2.67</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Nursing home</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4.09</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Fluoxetine</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2.2</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Fluoxetine</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3.83</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Hypertension</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1.8</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Stroke</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3.69</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Tiapride</w:t>
            </w:r>
            <w:proofErr w:type="spellEnd"/>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1.62</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Olanzapine</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3.09</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Duloxetine</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1.51</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Hypertension</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2.75</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Citalopram</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1.4</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Diabetes mellitus</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2.34</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Gender</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1.39</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Sulpiride</w:t>
            </w:r>
            <w:proofErr w:type="spellEnd"/>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2.33</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Venlafaxine</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1.36</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Aripiprazole</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2.3</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Traumatic brain injury</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0.9</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Tiapride</w:t>
            </w:r>
            <w:proofErr w:type="spellEnd"/>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1.97</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Amitriptyline</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0.78</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Parkinson’s disease</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1.58</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Cardiovascular disease</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0.02</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Thyroid disease</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1.34</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Desvenlafaxine</w:t>
            </w:r>
            <w:proofErr w:type="spellEnd"/>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-0.06</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Amitriptyline</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1.12</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Mianserin</w:t>
            </w:r>
            <w:proofErr w:type="spellEnd"/>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-0.18</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Gender</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1.06</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Dyslipidemia</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-0.56</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Levomepromazine</w:t>
            </w:r>
            <w:proofErr w:type="spellEnd"/>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0.24</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Levomepromazine</w:t>
            </w:r>
            <w:proofErr w:type="spellEnd"/>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-1.1</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Haloperidol</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-0.13</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Thyroid disease</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-1.23</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Cardiovascular disease</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-0.35</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Aripiprazole</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-1.53</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Traumatic brain injury</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-1.99</w:t>
            </w:r>
          </w:p>
        </w:tc>
      </w:tr>
      <w:tr w:rsidR="001C286D" w:rsidRPr="001C286D" w:rsidTr="00EA753B">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Age</w:t>
            </w:r>
          </w:p>
        </w:tc>
        <w:tc>
          <w:tcPr>
            <w:tcW w:w="0" w:type="auto"/>
            <w:tcBorders>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-1.71</w:t>
            </w:r>
          </w:p>
        </w:tc>
        <w:tc>
          <w:tcPr>
            <w:tcW w:w="0" w:type="auto"/>
            <w:tcBorders>
              <w:lef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Dyslipidemia</w:t>
            </w:r>
          </w:p>
        </w:tc>
        <w:tc>
          <w:tcPr>
            <w:tcW w:w="0" w:type="auto"/>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-2.33</w:t>
            </w:r>
          </w:p>
        </w:tc>
      </w:tr>
      <w:tr w:rsidR="001C286D" w:rsidRPr="001C286D" w:rsidTr="00EA753B">
        <w:tc>
          <w:tcPr>
            <w:tcW w:w="0" w:type="auto"/>
            <w:tcBorders>
              <w:bottom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Diabetes mellitus</w:t>
            </w:r>
          </w:p>
        </w:tc>
        <w:tc>
          <w:tcPr>
            <w:tcW w:w="0" w:type="auto"/>
            <w:tcBorders>
              <w:bottom w:val="single" w:sz="4" w:space="0" w:color="auto"/>
              <w:right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-3.92</w:t>
            </w:r>
          </w:p>
        </w:tc>
        <w:tc>
          <w:tcPr>
            <w:tcW w:w="0" w:type="auto"/>
            <w:tcBorders>
              <w:left w:val="single" w:sz="4" w:space="0" w:color="auto"/>
              <w:bottom w:val="single" w:sz="4" w:space="0" w:color="auto"/>
            </w:tcBorders>
          </w:tcPr>
          <w:p w:rsidR="001C286D" w:rsidRPr="001C286D" w:rsidRDefault="001C286D" w:rsidP="001C286D">
            <w:pPr>
              <w:spacing w:before="36" w:after="36" w:line="240" w:lineRule="auto"/>
              <w:rPr>
                <w:rFonts w:ascii="Calibri" w:hAnsi="Calibri"/>
                <w:sz w:val="20"/>
                <w:szCs w:val="20"/>
                <w:lang w:val="en-US"/>
              </w:rPr>
            </w:pPr>
            <w:proofErr w:type="spellStart"/>
            <w:r w:rsidRPr="001C286D">
              <w:rPr>
                <w:rFonts w:ascii="Calibri" w:hAnsi="Calibri"/>
                <w:sz w:val="20"/>
                <w:szCs w:val="20"/>
                <w:lang w:val="en-US"/>
              </w:rPr>
              <w:t>Mianserin</w:t>
            </w:r>
            <w:proofErr w:type="spellEnd"/>
          </w:p>
        </w:tc>
        <w:tc>
          <w:tcPr>
            <w:tcW w:w="0" w:type="auto"/>
            <w:tcBorders>
              <w:bottom w:val="single" w:sz="4" w:space="0" w:color="auto"/>
            </w:tcBorders>
          </w:tcPr>
          <w:p w:rsidR="001C286D" w:rsidRPr="001C286D" w:rsidRDefault="001C286D" w:rsidP="001C286D">
            <w:pPr>
              <w:spacing w:before="36" w:after="36" w:line="240" w:lineRule="auto"/>
              <w:rPr>
                <w:rFonts w:ascii="Calibri" w:hAnsi="Calibri"/>
                <w:sz w:val="20"/>
                <w:szCs w:val="20"/>
                <w:lang w:val="en-US"/>
              </w:rPr>
            </w:pPr>
            <w:r w:rsidRPr="001C286D">
              <w:rPr>
                <w:rFonts w:ascii="Calibri" w:hAnsi="Calibri"/>
                <w:sz w:val="20"/>
                <w:szCs w:val="20"/>
                <w:lang w:val="en-US"/>
              </w:rPr>
              <w:t>-3.53</w:t>
            </w:r>
          </w:p>
        </w:tc>
      </w:tr>
    </w:tbl>
    <w:p w:rsidR="001C286D" w:rsidRPr="001C286D" w:rsidRDefault="001C286D" w:rsidP="001C286D">
      <w:pPr>
        <w:rPr>
          <w:lang w:val="en-US"/>
        </w:rPr>
      </w:pPr>
      <w:r w:rsidRPr="001C286D">
        <w:rPr>
          <w:lang w:val="en-US"/>
        </w:rPr>
        <w:t>MDA: Mean Decrease Accuracy</w:t>
      </w:r>
    </w:p>
    <w:p w:rsidR="00562DA8" w:rsidRPr="006553D9" w:rsidRDefault="00562DA8">
      <w:pPr>
        <w:rPr>
          <w:lang w:val="en-US"/>
        </w:rPr>
      </w:pPr>
      <w:bookmarkStart w:id="0" w:name="_GoBack"/>
      <w:bookmarkEnd w:id="0"/>
    </w:p>
    <w:sectPr w:rsidR="00562DA8" w:rsidRPr="006553D9">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64D4" w:rsidRDefault="00E864D4">
      <w:pPr>
        <w:spacing w:after="0" w:line="240" w:lineRule="auto"/>
      </w:pPr>
      <w:r>
        <w:separator/>
      </w:r>
    </w:p>
  </w:endnote>
  <w:endnote w:type="continuationSeparator" w:id="0">
    <w:p w:rsidR="00E864D4" w:rsidRDefault="00E864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28406501"/>
      <w:docPartObj>
        <w:docPartGallery w:val="Page Numbers (Bottom of Page)"/>
        <w:docPartUnique/>
      </w:docPartObj>
    </w:sdtPr>
    <w:sdtEndPr/>
    <w:sdtContent>
      <w:p w:rsidR="00EA753B" w:rsidRDefault="00EA753B">
        <w:pPr>
          <w:pStyle w:val="Piedepgina"/>
          <w:jc w:val="right"/>
        </w:pPr>
        <w:r>
          <w:fldChar w:fldCharType="begin"/>
        </w:r>
        <w:r>
          <w:instrText>PAGE   \* MERGEFORMAT</w:instrText>
        </w:r>
        <w:r>
          <w:fldChar w:fldCharType="separate"/>
        </w:r>
        <w:r w:rsidR="006553D9">
          <w:rPr>
            <w:noProof/>
          </w:rPr>
          <w:t>9</w:t>
        </w:r>
        <w:r>
          <w:fldChar w:fldCharType="end"/>
        </w:r>
      </w:p>
    </w:sdtContent>
  </w:sdt>
  <w:p w:rsidR="00EA753B" w:rsidRDefault="00EA753B">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64D4" w:rsidRDefault="00E864D4">
      <w:pPr>
        <w:spacing w:after="0" w:line="240" w:lineRule="auto"/>
      </w:pPr>
      <w:r>
        <w:separator/>
      </w:r>
    </w:p>
  </w:footnote>
  <w:footnote w:type="continuationSeparator" w:id="0">
    <w:p w:rsidR="00E864D4" w:rsidRDefault="00E864D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86D"/>
    <w:rsid w:val="000536C4"/>
    <w:rsid w:val="001C286D"/>
    <w:rsid w:val="005360A8"/>
    <w:rsid w:val="00562DA8"/>
    <w:rsid w:val="006553D9"/>
    <w:rsid w:val="00810208"/>
    <w:rsid w:val="00B079F9"/>
    <w:rsid w:val="00D51F03"/>
    <w:rsid w:val="00E864D4"/>
    <w:rsid w:val="00EA753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Textoindependiente"/>
    <w:link w:val="Ttulo1Car"/>
    <w:uiPriority w:val="9"/>
    <w:qFormat/>
    <w:rsid w:val="001C286D"/>
    <w:pPr>
      <w:keepNext/>
      <w:keepLines/>
      <w:spacing w:before="480" w:after="0" w:line="240" w:lineRule="auto"/>
      <w:outlineLvl w:val="0"/>
    </w:pPr>
    <w:rPr>
      <w:rFonts w:asciiTheme="majorHAnsi" w:eastAsiaTheme="majorEastAsia" w:hAnsiTheme="majorHAnsi" w:cstheme="majorBidi"/>
      <w:b/>
      <w:bCs/>
      <w:color w:val="345A8A" w:themeColor="accent1" w:themeShade="B5"/>
      <w:sz w:val="32"/>
      <w:szCs w:val="32"/>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C286D"/>
    <w:rPr>
      <w:rFonts w:asciiTheme="majorHAnsi" w:eastAsiaTheme="majorEastAsia" w:hAnsiTheme="majorHAnsi" w:cstheme="majorBidi"/>
      <w:b/>
      <w:bCs/>
      <w:color w:val="345A8A" w:themeColor="accent1" w:themeShade="B5"/>
      <w:sz w:val="32"/>
      <w:szCs w:val="32"/>
      <w:lang w:val="en-US"/>
    </w:rPr>
  </w:style>
  <w:style w:type="paragraph" w:styleId="Encabezado">
    <w:name w:val="header"/>
    <w:basedOn w:val="Normal"/>
    <w:link w:val="EncabezadoCar"/>
    <w:uiPriority w:val="99"/>
    <w:unhideWhenUsed/>
    <w:rsid w:val="001C286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C286D"/>
  </w:style>
  <w:style w:type="paragraph" w:styleId="Piedepgina">
    <w:name w:val="footer"/>
    <w:basedOn w:val="Normal"/>
    <w:link w:val="PiedepginaCar"/>
    <w:uiPriority w:val="99"/>
    <w:unhideWhenUsed/>
    <w:rsid w:val="001C286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C286D"/>
  </w:style>
  <w:style w:type="table" w:styleId="Tablaconcuadrcula">
    <w:name w:val="Table Grid"/>
    <w:basedOn w:val="Tablanormal"/>
    <w:uiPriority w:val="59"/>
    <w:rsid w:val="001C28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pgrafe">
    <w:name w:val="caption"/>
    <w:basedOn w:val="Normal"/>
    <w:next w:val="Normal"/>
    <w:uiPriority w:val="35"/>
    <w:unhideWhenUsed/>
    <w:qFormat/>
    <w:rsid w:val="001C286D"/>
    <w:pPr>
      <w:spacing w:line="240" w:lineRule="auto"/>
    </w:pPr>
    <w:rPr>
      <w:i/>
      <w:iCs/>
      <w:color w:val="1F497D" w:themeColor="text2"/>
      <w:sz w:val="18"/>
      <w:szCs w:val="18"/>
    </w:rPr>
  </w:style>
  <w:style w:type="table" w:customStyle="1" w:styleId="Tabladecuadrcula21">
    <w:name w:val="Tabla de cuadrícula 21"/>
    <w:basedOn w:val="Tablanormal"/>
    <w:uiPriority w:val="47"/>
    <w:rsid w:val="001C286D"/>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Textodelmarcadordeposicin">
    <w:name w:val="Placeholder Text"/>
    <w:basedOn w:val="Fuentedeprrafopredeter"/>
    <w:uiPriority w:val="99"/>
    <w:semiHidden/>
    <w:rsid w:val="001C286D"/>
    <w:rPr>
      <w:color w:val="808080"/>
    </w:rPr>
  </w:style>
  <w:style w:type="table" w:customStyle="1" w:styleId="Cuadrculadetablaclara1">
    <w:name w:val="Cuadrícula de tabla clara1"/>
    <w:basedOn w:val="Tablanormal"/>
    <w:uiPriority w:val="40"/>
    <w:rsid w:val="001C286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TMLconformatoprevio">
    <w:name w:val="HTML Preformatted"/>
    <w:basedOn w:val="Normal"/>
    <w:link w:val="HTMLconformatoprevioCar"/>
    <w:uiPriority w:val="99"/>
    <w:unhideWhenUsed/>
    <w:rsid w:val="001C28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rsid w:val="001C286D"/>
    <w:rPr>
      <w:rFonts w:ascii="Courier New" w:eastAsia="Times New Roman" w:hAnsi="Courier New" w:cs="Courier New"/>
      <w:sz w:val="20"/>
      <w:szCs w:val="20"/>
      <w:lang w:eastAsia="es-ES"/>
    </w:rPr>
  </w:style>
  <w:style w:type="character" w:customStyle="1" w:styleId="gd15mcfcktb">
    <w:name w:val="gd15mcfcktb"/>
    <w:basedOn w:val="Fuentedeprrafopredeter"/>
    <w:rsid w:val="001C286D"/>
  </w:style>
  <w:style w:type="character" w:customStyle="1" w:styleId="gd15mcfckub">
    <w:name w:val="gd15mcfckub"/>
    <w:basedOn w:val="Fuentedeprrafopredeter"/>
    <w:rsid w:val="001C286D"/>
  </w:style>
  <w:style w:type="paragraph" w:styleId="Textodeglobo">
    <w:name w:val="Balloon Text"/>
    <w:basedOn w:val="Normal"/>
    <w:link w:val="TextodegloboCar"/>
    <w:uiPriority w:val="99"/>
    <w:semiHidden/>
    <w:unhideWhenUsed/>
    <w:rsid w:val="001C286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C286D"/>
    <w:rPr>
      <w:rFonts w:ascii="Tahoma" w:hAnsi="Tahoma" w:cs="Tahoma"/>
      <w:sz w:val="16"/>
      <w:szCs w:val="16"/>
    </w:rPr>
  </w:style>
  <w:style w:type="paragraph" w:customStyle="1" w:styleId="Compact">
    <w:name w:val="Compact"/>
    <w:basedOn w:val="Textoindependiente"/>
    <w:qFormat/>
    <w:rsid w:val="001C286D"/>
    <w:pPr>
      <w:spacing w:before="36" w:after="36" w:line="240" w:lineRule="auto"/>
    </w:pPr>
    <w:rPr>
      <w:sz w:val="24"/>
      <w:szCs w:val="24"/>
      <w:lang w:val="en-US"/>
    </w:rPr>
  </w:style>
  <w:style w:type="paragraph" w:customStyle="1" w:styleId="TableCaption">
    <w:name w:val="Table Caption"/>
    <w:basedOn w:val="Epgrafe"/>
    <w:rsid w:val="001C286D"/>
    <w:pPr>
      <w:keepNext/>
      <w:spacing w:after="120"/>
    </w:pPr>
    <w:rPr>
      <w:iCs w:val="0"/>
      <w:color w:val="auto"/>
      <w:sz w:val="24"/>
      <w:szCs w:val="24"/>
      <w:lang w:val="en-US"/>
    </w:rPr>
  </w:style>
  <w:style w:type="paragraph" w:styleId="Textoindependiente">
    <w:name w:val="Body Text"/>
    <w:basedOn w:val="Normal"/>
    <w:link w:val="TextoindependienteCar"/>
    <w:uiPriority w:val="99"/>
    <w:semiHidden/>
    <w:unhideWhenUsed/>
    <w:rsid w:val="001C286D"/>
    <w:pPr>
      <w:spacing w:after="120"/>
    </w:pPr>
  </w:style>
  <w:style w:type="character" w:customStyle="1" w:styleId="TextoindependienteCar">
    <w:name w:val="Texto independiente Car"/>
    <w:basedOn w:val="Fuentedeprrafopredeter"/>
    <w:link w:val="Textoindependiente"/>
    <w:uiPriority w:val="99"/>
    <w:semiHidden/>
    <w:rsid w:val="001C286D"/>
  </w:style>
  <w:style w:type="paragraph" w:styleId="Bibliografa">
    <w:name w:val="Bibliography"/>
    <w:basedOn w:val="Normal"/>
    <w:next w:val="Normal"/>
    <w:uiPriority w:val="37"/>
    <w:unhideWhenUsed/>
    <w:rsid w:val="001C286D"/>
    <w:pPr>
      <w:spacing w:after="240" w:line="240" w:lineRule="auto"/>
    </w:pPr>
  </w:style>
  <w:style w:type="character" w:styleId="Refdecomentario">
    <w:name w:val="annotation reference"/>
    <w:basedOn w:val="Fuentedeprrafopredeter"/>
    <w:uiPriority w:val="99"/>
    <w:semiHidden/>
    <w:unhideWhenUsed/>
    <w:rsid w:val="001C286D"/>
    <w:rPr>
      <w:sz w:val="16"/>
      <w:szCs w:val="16"/>
    </w:rPr>
  </w:style>
  <w:style w:type="paragraph" w:styleId="Textocomentario">
    <w:name w:val="annotation text"/>
    <w:basedOn w:val="Normal"/>
    <w:link w:val="TextocomentarioCar"/>
    <w:uiPriority w:val="99"/>
    <w:semiHidden/>
    <w:unhideWhenUsed/>
    <w:rsid w:val="001C286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C286D"/>
    <w:rPr>
      <w:sz w:val="20"/>
      <w:szCs w:val="20"/>
    </w:rPr>
  </w:style>
  <w:style w:type="paragraph" w:styleId="Asuntodelcomentario">
    <w:name w:val="annotation subject"/>
    <w:basedOn w:val="Textocomentario"/>
    <w:next w:val="Textocomentario"/>
    <w:link w:val="AsuntodelcomentarioCar"/>
    <w:uiPriority w:val="99"/>
    <w:semiHidden/>
    <w:unhideWhenUsed/>
    <w:rsid w:val="001C286D"/>
    <w:rPr>
      <w:b/>
      <w:bCs/>
    </w:rPr>
  </w:style>
  <w:style w:type="character" w:customStyle="1" w:styleId="AsuntodelcomentarioCar">
    <w:name w:val="Asunto del comentario Car"/>
    <w:basedOn w:val="TextocomentarioCar"/>
    <w:link w:val="Asuntodelcomentario"/>
    <w:uiPriority w:val="99"/>
    <w:semiHidden/>
    <w:rsid w:val="001C286D"/>
    <w:rPr>
      <w:b/>
      <w:bCs/>
      <w:sz w:val="20"/>
      <w:szCs w:val="20"/>
    </w:rPr>
  </w:style>
  <w:style w:type="table" w:customStyle="1" w:styleId="GridTableLight">
    <w:name w:val="Grid Table Light"/>
    <w:basedOn w:val="Tablanormal"/>
    <w:uiPriority w:val="40"/>
    <w:rsid w:val="001C286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Textoindependiente"/>
    <w:link w:val="Ttulo1Car"/>
    <w:uiPriority w:val="9"/>
    <w:qFormat/>
    <w:rsid w:val="001C286D"/>
    <w:pPr>
      <w:keepNext/>
      <w:keepLines/>
      <w:spacing w:before="480" w:after="0" w:line="240" w:lineRule="auto"/>
      <w:outlineLvl w:val="0"/>
    </w:pPr>
    <w:rPr>
      <w:rFonts w:asciiTheme="majorHAnsi" w:eastAsiaTheme="majorEastAsia" w:hAnsiTheme="majorHAnsi" w:cstheme="majorBidi"/>
      <w:b/>
      <w:bCs/>
      <w:color w:val="345A8A" w:themeColor="accent1" w:themeShade="B5"/>
      <w:sz w:val="32"/>
      <w:szCs w:val="32"/>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C286D"/>
    <w:rPr>
      <w:rFonts w:asciiTheme="majorHAnsi" w:eastAsiaTheme="majorEastAsia" w:hAnsiTheme="majorHAnsi" w:cstheme="majorBidi"/>
      <w:b/>
      <w:bCs/>
      <w:color w:val="345A8A" w:themeColor="accent1" w:themeShade="B5"/>
      <w:sz w:val="32"/>
      <w:szCs w:val="32"/>
      <w:lang w:val="en-US"/>
    </w:rPr>
  </w:style>
  <w:style w:type="paragraph" w:styleId="Encabezado">
    <w:name w:val="header"/>
    <w:basedOn w:val="Normal"/>
    <w:link w:val="EncabezadoCar"/>
    <w:uiPriority w:val="99"/>
    <w:unhideWhenUsed/>
    <w:rsid w:val="001C286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1C286D"/>
  </w:style>
  <w:style w:type="paragraph" w:styleId="Piedepgina">
    <w:name w:val="footer"/>
    <w:basedOn w:val="Normal"/>
    <w:link w:val="PiedepginaCar"/>
    <w:uiPriority w:val="99"/>
    <w:unhideWhenUsed/>
    <w:rsid w:val="001C286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1C286D"/>
  </w:style>
  <w:style w:type="table" w:styleId="Tablaconcuadrcula">
    <w:name w:val="Table Grid"/>
    <w:basedOn w:val="Tablanormal"/>
    <w:uiPriority w:val="59"/>
    <w:rsid w:val="001C28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pgrafe">
    <w:name w:val="caption"/>
    <w:basedOn w:val="Normal"/>
    <w:next w:val="Normal"/>
    <w:uiPriority w:val="35"/>
    <w:unhideWhenUsed/>
    <w:qFormat/>
    <w:rsid w:val="001C286D"/>
    <w:pPr>
      <w:spacing w:line="240" w:lineRule="auto"/>
    </w:pPr>
    <w:rPr>
      <w:i/>
      <w:iCs/>
      <w:color w:val="1F497D" w:themeColor="text2"/>
      <w:sz w:val="18"/>
      <w:szCs w:val="18"/>
    </w:rPr>
  </w:style>
  <w:style w:type="table" w:customStyle="1" w:styleId="Tabladecuadrcula21">
    <w:name w:val="Tabla de cuadrícula 21"/>
    <w:basedOn w:val="Tablanormal"/>
    <w:uiPriority w:val="47"/>
    <w:rsid w:val="001C286D"/>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Textodelmarcadordeposicin">
    <w:name w:val="Placeholder Text"/>
    <w:basedOn w:val="Fuentedeprrafopredeter"/>
    <w:uiPriority w:val="99"/>
    <w:semiHidden/>
    <w:rsid w:val="001C286D"/>
    <w:rPr>
      <w:color w:val="808080"/>
    </w:rPr>
  </w:style>
  <w:style w:type="table" w:customStyle="1" w:styleId="Cuadrculadetablaclara1">
    <w:name w:val="Cuadrícula de tabla clara1"/>
    <w:basedOn w:val="Tablanormal"/>
    <w:uiPriority w:val="40"/>
    <w:rsid w:val="001C286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HTMLconformatoprevio">
    <w:name w:val="HTML Preformatted"/>
    <w:basedOn w:val="Normal"/>
    <w:link w:val="HTMLconformatoprevioCar"/>
    <w:uiPriority w:val="99"/>
    <w:unhideWhenUsed/>
    <w:rsid w:val="001C28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ES"/>
    </w:rPr>
  </w:style>
  <w:style w:type="character" w:customStyle="1" w:styleId="HTMLconformatoprevioCar">
    <w:name w:val="HTML con formato previo Car"/>
    <w:basedOn w:val="Fuentedeprrafopredeter"/>
    <w:link w:val="HTMLconformatoprevio"/>
    <w:uiPriority w:val="99"/>
    <w:rsid w:val="001C286D"/>
    <w:rPr>
      <w:rFonts w:ascii="Courier New" w:eastAsia="Times New Roman" w:hAnsi="Courier New" w:cs="Courier New"/>
      <w:sz w:val="20"/>
      <w:szCs w:val="20"/>
      <w:lang w:eastAsia="es-ES"/>
    </w:rPr>
  </w:style>
  <w:style w:type="character" w:customStyle="1" w:styleId="gd15mcfcktb">
    <w:name w:val="gd15mcfcktb"/>
    <w:basedOn w:val="Fuentedeprrafopredeter"/>
    <w:rsid w:val="001C286D"/>
  </w:style>
  <w:style w:type="character" w:customStyle="1" w:styleId="gd15mcfckub">
    <w:name w:val="gd15mcfckub"/>
    <w:basedOn w:val="Fuentedeprrafopredeter"/>
    <w:rsid w:val="001C286D"/>
  </w:style>
  <w:style w:type="paragraph" w:styleId="Textodeglobo">
    <w:name w:val="Balloon Text"/>
    <w:basedOn w:val="Normal"/>
    <w:link w:val="TextodegloboCar"/>
    <w:uiPriority w:val="99"/>
    <w:semiHidden/>
    <w:unhideWhenUsed/>
    <w:rsid w:val="001C286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1C286D"/>
    <w:rPr>
      <w:rFonts w:ascii="Tahoma" w:hAnsi="Tahoma" w:cs="Tahoma"/>
      <w:sz w:val="16"/>
      <w:szCs w:val="16"/>
    </w:rPr>
  </w:style>
  <w:style w:type="paragraph" w:customStyle="1" w:styleId="Compact">
    <w:name w:val="Compact"/>
    <w:basedOn w:val="Textoindependiente"/>
    <w:qFormat/>
    <w:rsid w:val="001C286D"/>
    <w:pPr>
      <w:spacing w:before="36" w:after="36" w:line="240" w:lineRule="auto"/>
    </w:pPr>
    <w:rPr>
      <w:sz w:val="24"/>
      <w:szCs w:val="24"/>
      <w:lang w:val="en-US"/>
    </w:rPr>
  </w:style>
  <w:style w:type="paragraph" w:customStyle="1" w:styleId="TableCaption">
    <w:name w:val="Table Caption"/>
    <w:basedOn w:val="Epgrafe"/>
    <w:rsid w:val="001C286D"/>
    <w:pPr>
      <w:keepNext/>
      <w:spacing w:after="120"/>
    </w:pPr>
    <w:rPr>
      <w:iCs w:val="0"/>
      <w:color w:val="auto"/>
      <w:sz w:val="24"/>
      <w:szCs w:val="24"/>
      <w:lang w:val="en-US"/>
    </w:rPr>
  </w:style>
  <w:style w:type="paragraph" w:styleId="Textoindependiente">
    <w:name w:val="Body Text"/>
    <w:basedOn w:val="Normal"/>
    <w:link w:val="TextoindependienteCar"/>
    <w:uiPriority w:val="99"/>
    <w:semiHidden/>
    <w:unhideWhenUsed/>
    <w:rsid w:val="001C286D"/>
    <w:pPr>
      <w:spacing w:after="120"/>
    </w:pPr>
  </w:style>
  <w:style w:type="character" w:customStyle="1" w:styleId="TextoindependienteCar">
    <w:name w:val="Texto independiente Car"/>
    <w:basedOn w:val="Fuentedeprrafopredeter"/>
    <w:link w:val="Textoindependiente"/>
    <w:uiPriority w:val="99"/>
    <w:semiHidden/>
    <w:rsid w:val="001C286D"/>
  </w:style>
  <w:style w:type="paragraph" w:styleId="Bibliografa">
    <w:name w:val="Bibliography"/>
    <w:basedOn w:val="Normal"/>
    <w:next w:val="Normal"/>
    <w:uiPriority w:val="37"/>
    <w:unhideWhenUsed/>
    <w:rsid w:val="001C286D"/>
    <w:pPr>
      <w:spacing w:after="240" w:line="240" w:lineRule="auto"/>
    </w:pPr>
  </w:style>
  <w:style w:type="character" w:styleId="Refdecomentario">
    <w:name w:val="annotation reference"/>
    <w:basedOn w:val="Fuentedeprrafopredeter"/>
    <w:uiPriority w:val="99"/>
    <w:semiHidden/>
    <w:unhideWhenUsed/>
    <w:rsid w:val="001C286D"/>
    <w:rPr>
      <w:sz w:val="16"/>
      <w:szCs w:val="16"/>
    </w:rPr>
  </w:style>
  <w:style w:type="paragraph" w:styleId="Textocomentario">
    <w:name w:val="annotation text"/>
    <w:basedOn w:val="Normal"/>
    <w:link w:val="TextocomentarioCar"/>
    <w:uiPriority w:val="99"/>
    <w:semiHidden/>
    <w:unhideWhenUsed/>
    <w:rsid w:val="001C286D"/>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C286D"/>
    <w:rPr>
      <w:sz w:val="20"/>
      <w:szCs w:val="20"/>
    </w:rPr>
  </w:style>
  <w:style w:type="paragraph" w:styleId="Asuntodelcomentario">
    <w:name w:val="annotation subject"/>
    <w:basedOn w:val="Textocomentario"/>
    <w:next w:val="Textocomentario"/>
    <w:link w:val="AsuntodelcomentarioCar"/>
    <w:uiPriority w:val="99"/>
    <w:semiHidden/>
    <w:unhideWhenUsed/>
    <w:rsid w:val="001C286D"/>
    <w:rPr>
      <w:b/>
      <w:bCs/>
    </w:rPr>
  </w:style>
  <w:style w:type="character" w:customStyle="1" w:styleId="AsuntodelcomentarioCar">
    <w:name w:val="Asunto del comentario Car"/>
    <w:basedOn w:val="TextocomentarioCar"/>
    <w:link w:val="Asuntodelcomentario"/>
    <w:uiPriority w:val="99"/>
    <w:semiHidden/>
    <w:rsid w:val="001C286D"/>
    <w:rPr>
      <w:b/>
      <w:bCs/>
      <w:sz w:val="20"/>
      <w:szCs w:val="20"/>
    </w:rPr>
  </w:style>
  <w:style w:type="table" w:customStyle="1" w:styleId="GridTableLight">
    <w:name w:val="Grid Table Light"/>
    <w:basedOn w:val="Tablanormal"/>
    <w:uiPriority w:val="40"/>
    <w:rsid w:val="001C286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9</Pages>
  <Words>3936</Words>
  <Characters>21654</Characters>
  <Application>Microsoft Office Word</Application>
  <DocSecurity>0</DocSecurity>
  <Lines>180</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25539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Javier</dc:creator>
  <cp:lastModifiedBy>JAVIER MAR MEDINA</cp:lastModifiedBy>
  <cp:revision>4</cp:revision>
  <dcterms:created xsi:type="dcterms:W3CDTF">2020-02-15T10:11:00Z</dcterms:created>
  <dcterms:modified xsi:type="dcterms:W3CDTF">2020-03-18T07:18:00Z</dcterms:modified>
</cp:coreProperties>
</file>